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1F4D78"/>
          <w:sz w:val="56"/>
        </w:rPr>
        <w:t>DotTalk++ / x64base</w:t>
      </w:r>
    </w:p>
    <w:p>
      <w:r>
        <w:rPr>
          <w:color w:val="2E74B5"/>
          <w:sz w:val="36"/>
        </w:rPr>
        <w:t>Manual Preview V1</w:t>
      </w:r>
    </w:p>
    <w:p>
      <w:r>
        <w:t>A reader-facing assembled manual with diagrams, anchor map, maturity model, command-reference seed, and generated topical index.</w:t>
      </w:r>
    </w:p>
    <w:tbl>
      <w:tblPr>
        <w:tblW w:type="auto" w:w="0"/>
        <w:tblLook w:firstColumn="1" w:firstRow="1" w:lastColumn="0" w:lastRow="0" w:noHBand="0" w:noVBand="1" w:val="04A0"/>
      </w:tblPr>
      <w:tblGrid>
        <w:gridCol w:w="4680"/>
        <w:gridCol w:w="4680"/>
      </w:tblGrid>
      <w:tr>
        <w:tc>
          <w:tcPr>
            <w:tcW w:type="dxa" w:w="2232"/>
            <w:vAlign w:val="center"/>
            <w:tcBorders>
              <w:top w:val="single" w:sz="4" w:space="0" w:color="B7C6D8"/>
              <w:left w:val="single" w:sz="4" w:space="0" w:color="B7C6D8"/>
              <w:bottom w:val="single" w:sz="4" w:space="0" w:color="B7C6D8"/>
              <w:right w:val="single" w:sz="4" w:space="0" w:color="B7C6D8"/>
            </w:tcBorders>
            <w:shd w:fill="E8EEF5"/>
          </w:tcPr>
          <w:p>
            <w:r>
              <w:t>Status</w:t>
            </w:r>
          </w:p>
        </w:tc>
        <w:tc>
          <w:tcPr>
            <w:tcW w:type="dxa" w:w="7128"/>
            <w:vAlign w:val="center"/>
            <w:tcBorders>
              <w:top w:val="single" w:sz="4" w:space="0" w:color="B7C6D8"/>
              <w:left w:val="single" w:sz="4" w:space="0" w:color="B7C6D8"/>
              <w:bottom w:val="single" w:sz="4" w:space="0" w:color="B7C6D8"/>
              <w:right w:val="single" w:sz="4" w:space="0" w:color="B7C6D8"/>
            </w:tcBorders>
          </w:tcPr>
          <w:p>
            <w:r>
              <w:t>Inspection draft assembled from current repository manual sources.</w:t>
            </w:r>
          </w:p>
        </w:tc>
      </w:tr>
      <w:tr>
        <w:tc>
          <w:tcPr>
            <w:tcW w:type="dxa" w:w="2232"/>
            <w:vAlign w:val="center"/>
            <w:tcBorders>
              <w:top w:val="single" w:sz="4" w:space="0" w:color="B7C6D8"/>
              <w:left w:val="single" w:sz="4" w:space="0" w:color="B7C6D8"/>
              <w:bottom w:val="single" w:sz="4" w:space="0" w:color="B7C6D8"/>
              <w:right w:val="single" w:sz="4" w:space="0" w:color="B7C6D8"/>
            </w:tcBorders>
            <w:shd w:fill="E8EEF5"/>
          </w:tcPr>
          <w:p>
            <w:r>
              <w:t>Audience</w:t>
            </w:r>
          </w:p>
        </w:tc>
        <w:tc>
          <w:tcPr>
            <w:tcW w:type="dxa" w:w="7128"/>
            <w:vAlign w:val="center"/>
            <w:tcBorders>
              <w:top w:val="single" w:sz="4" w:space="0" w:color="B7C6D8"/>
              <w:left w:val="single" w:sz="4" w:space="0" w:color="B7C6D8"/>
              <w:bottom w:val="single" w:sz="4" w:space="0" w:color="B7C6D8"/>
              <w:right w:val="single" w:sz="4" w:space="0" w:color="B7C6D8"/>
            </w:tcBorders>
          </w:tcPr>
          <w:p>
            <w:r>
              <w:t>Human developer, AI development agent, documentation maintainer, and early reader.</w:t>
            </w:r>
          </w:p>
        </w:tc>
      </w:tr>
      <w:tr>
        <w:tc>
          <w:tcPr>
            <w:tcW w:type="dxa" w:w="2232"/>
            <w:vAlign w:val="center"/>
            <w:tcBorders>
              <w:top w:val="single" w:sz="4" w:space="0" w:color="B7C6D8"/>
              <w:left w:val="single" w:sz="4" w:space="0" w:color="B7C6D8"/>
              <w:bottom w:val="single" w:sz="4" w:space="0" w:color="B7C6D8"/>
              <w:right w:val="single" w:sz="4" w:space="0" w:color="B7C6D8"/>
            </w:tcBorders>
            <w:shd w:fill="E8EEF5"/>
          </w:tcPr>
          <w:p>
            <w:r>
              <w:t>Source root</w:t>
            </w:r>
          </w:p>
        </w:tc>
        <w:tc>
          <w:tcPr>
            <w:tcW w:type="dxa" w:w="7128"/>
            <w:vAlign w:val="center"/>
            <w:tcBorders>
              <w:top w:val="single" w:sz="4" w:space="0" w:color="B7C6D8"/>
              <w:left w:val="single" w:sz="4" w:space="0" w:color="B7C6D8"/>
              <w:bottom w:val="single" w:sz="4" w:space="0" w:color="B7C6D8"/>
              <w:right w:val="single" w:sz="4" w:space="0" w:color="B7C6D8"/>
            </w:tcBorders>
          </w:tcPr>
          <w:p>
            <w:r>
              <w:t>D:\code\ccode</w:t>
            </w:r>
          </w:p>
        </w:tc>
      </w:tr>
      <w:tr>
        <w:tc>
          <w:tcPr>
            <w:tcW w:type="dxa" w:w="2232"/>
            <w:vAlign w:val="center"/>
            <w:tcBorders>
              <w:top w:val="single" w:sz="4" w:space="0" w:color="B7C6D8"/>
              <w:left w:val="single" w:sz="4" w:space="0" w:color="B7C6D8"/>
              <w:bottom w:val="single" w:sz="4" w:space="0" w:color="B7C6D8"/>
              <w:right w:val="single" w:sz="4" w:space="0" w:color="B7C6D8"/>
            </w:tcBorders>
            <w:shd w:fill="E8EEF5"/>
          </w:tcPr>
          <w:p>
            <w:r>
              <w:t>Generated from</w:t>
            </w:r>
          </w:p>
        </w:tc>
        <w:tc>
          <w:tcPr>
            <w:tcW w:type="dxa" w:w="7128"/>
            <w:vAlign w:val="center"/>
            <w:tcBorders>
              <w:top w:val="single" w:sz="4" w:space="0" w:color="B7C6D8"/>
              <w:left w:val="single" w:sz="4" w:space="0" w:color="B7C6D8"/>
              <w:bottom w:val="single" w:sz="4" w:space="0" w:color="B7C6D8"/>
              <w:right w:val="single" w:sz="4" w:space="0" w:color="B7C6D8"/>
            </w:tcBorders>
          </w:tcPr>
          <w:p>
            <w:r>
              <w:t>Reader manual, anchor map, diagram registry, maturity model, command usage harvest.</w:t>
            </w:r>
          </w:p>
        </w:tc>
      </w:tr>
      <w:tr>
        <w:tc>
          <w:tcPr>
            <w:tcW w:type="dxa" w:w="2232"/>
            <w:vAlign w:val="center"/>
            <w:tcBorders>
              <w:top w:val="single" w:sz="4" w:space="0" w:color="B7C6D8"/>
              <w:left w:val="single" w:sz="4" w:space="0" w:color="B7C6D8"/>
              <w:bottom w:val="single" w:sz="4" w:space="0" w:color="B7C6D8"/>
              <w:right w:val="single" w:sz="4" w:space="0" w:color="B7C6D8"/>
            </w:tcBorders>
            <w:shd w:fill="E8EEF5"/>
          </w:tcPr>
          <w:p>
            <w:r>
              <w:t>Design preset</w:t>
            </w:r>
          </w:p>
        </w:tc>
        <w:tc>
          <w:tcPr>
            <w:tcW w:type="dxa" w:w="7128"/>
            <w:vAlign w:val="center"/>
            <w:tcBorders>
              <w:top w:val="single" w:sz="4" w:space="0" w:color="B7C6D8"/>
              <w:left w:val="single" w:sz="4" w:space="0" w:color="B7C6D8"/>
              <w:bottom w:val="single" w:sz="4" w:space="0" w:color="B7C6D8"/>
              <w:right w:val="single" w:sz="4" w:space="0" w:color="B7C6D8"/>
            </w:tcBorders>
          </w:tcPr>
          <w:p>
            <w:r>
              <w:t>compact_reference_guide.</w:t>
            </w:r>
          </w:p>
        </w:tc>
      </w:tr>
    </w:tbl>
    <w:p>
      <w:r>
        <w:br w:type="page"/>
      </w:r>
    </w:p>
    <w:p>
      <w:pPr>
        <w:pStyle w:val="Heading1"/>
      </w:pPr>
      <w:r>
        <w:t>Table of Contents</w:t>
      </w:r>
    </w:p>
    <w:p>
      <w:r>
        <w:fldChar w:fldCharType="begin"/>
        <w:instrText xml:space="preserve">TOC \o "1-3" \h \z \u</w:instrText>
        <w:fldChar w:fldCharType="separate"/>
        <w:fldChar w:fldCharType="end"/>
      </w:r>
      <w:r>
        <w:t>Right-click and update field in Word to refresh page numbers.</w:t>
      </w:r>
    </w:p>
    <w:p>
      <w:r>
        <w:br w:type="page"/>
      </w:r>
    </w:p>
    <w:p>
      <w:pPr>
        <w:pStyle w:val="Heading1"/>
      </w:pPr>
      <w:r>
        <w:t>Illustrations</w:t>
      </w:r>
    </w:p>
    <w:p>
      <w:r>
        <w:rPr>
          <w:i/>
        </w:rPr>
        <w:t>The figures in this preview are anchored manual assets. They clarify current structure but do not increase a section's proof state; proof still comes from source contracts, catalogs, and runtime transcripts.</w:t>
      </w:r>
    </w:p>
    <w:tbl>
      <w:tblPr>
        <w:tblW w:type="auto" w:w="0"/>
        <w:tblLook w:firstColumn="1" w:firstRow="1" w:lastColumn="0" w:lastRow="0" w:noHBand="0" w:noVBand="1" w:val="04A0"/>
      </w:tblPr>
      <w:tblGrid>
        <w:gridCol w:w="2340"/>
        <w:gridCol w:w="2340"/>
        <w:gridCol w:w="2340"/>
        <w:gridCol w:w="2340"/>
      </w:tblGrid>
      <w:tr>
        <w:tc>
          <w:tcPr>
            <w:tcW w:type="dxa" w:w="1944"/>
            <w:vAlign w:val="center"/>
            <w:tcBorders>
              <w:top w:val="single" w:sz="4" w:space="0" w:color="B7C6D8"/>
              <w:left w:val="single" w:sz="4" w:space="0" w:color="B7C6D8"/>
              <w:bottom w:val="single" w:sz="4" w:space="0" w:color="B7C6D8"/>
              <w:right w:val="single" w:sz="4" w:space="0" w:color="B7C6D8"/>
            </w:tcBorders>
            <w:shd w:fill="E8EEF5"/>
          </w:tcPr>
          <w:p>
            <w:r>
              <w:t>Figure</w:t>
            </w:r>
          </w:p>
        </w:tc>
        <w:tc>
          <w:tcPr>
            <w:tcW w:type="dxa" w:w="3384"/>
            <w:vAlign w:val="center"/>
            <w:tcBorders>
              <w:top w:val="single" w:sz="4" w:space="0" w:color="B7C6D8"/>
              <w:left w:val="single" w:sz="4" w:space="0" w:color="B7C6D8"/>
              <w:bottom w:val="single" w:sz="4" w:space="0" w:color="B7C6D8"/>
              <w:right w:val="single" w:sz="4" w:space="0" w:color="B7C6D8"/>
            </w:tcBorders>
            <w:shd w:fill="E8EEF5"/>
          </w:tcPr>
          <w:p>
            <w:r>
              <w:t>Purpose</w:t>
            </w:r>
          </w:p>
        </w:tc>
        <w:tc>
          <w:tcPr>
            <w:tcW w:type="dxa" w:w="2448"/>
            <w:vAlign w:val="center"/>
            <w:tcBorders>
              <w:top w:val="single" w:sz="4" w:space="0" w:color="B7C6D8"/>
              <w:left w:val="single" w:sz="4" w:space="0" w:color="B7C6D8"/>
              <w:bottom w:val="single" w:sz="4" w:space="0" w:color="B7C6D8"/>
              <w:right w:val="single" w:sz="4" w:space="0" w:color="B7C6D8"/>
            </w:tcBorders>
            <w:shd w:fill="E8EEF5"/>
          </w:tcPr>
          <w:p>
            <w:r>
              <w:t>Anchor</w:t>
            </w:r>
          </w:p>
        </w:tc>
        <w:tc>
          <w:tcPr>
            <w:tcW w:type="dxa" w:w="1584"/>
            <w:vAlign w:val="center"/>
            <w:tcBorders>
              <w:top w:val="single" w:sz="4" w:space="0" w:color="B7C6D8"/>
              <w:left w:val="single" w:sz="4" w:space="0" w:color="B7C6D8"/>
              <w:bottom w:val="single" w:sz="4" w:space="0" w:color="B7C6D8"/>
              <w:right w:val="single" w:sz="4" w:space="0" w:color="B7C6D8"/>
            </w:tcBorders>
            <w:shd w:fill="E8EEF5"/>
          </w:tcPr>
          <w:p>
            <w:r>
              <w:t>Asset ID</w:t>
            </w:r>
          </w:p>
        </w:tc>
      </w:tr>
      <w:tr>
        <w:tc>
          <w:tcPr>
            <w:tcW w:type="dxa" w:w="2340"/>
          </w:tcPr>
          <w:p>
            <w:r>
              <w:t>Figure 1</w:t>
            </w:r>
          </w:p>
        </w:tc>
        <w:tc>
          <w:tcPr>
            <w:tcW w:type="dxa" w:w="2340"/>
          </w:tcPr>
          <w:p>
            <w:r>
              <w:t>Four-layer working model.</w:t>
            </w:r>
          </w:p>
        </w:tc>
        <w:tc>
          <w:tcPr>
            <w:tcW w:type="dxa" w:w="2340"/>
          </w:tcPr>
          <w:p>
            <w:r>
              <w:t>ANCHOR-X64BASE-README</w:t>
            </w:r>
          </w:p>
        </w:tc>
        <w:tc>
          <w:tcPr>
            <w:tcW w:type="dxa" w:w="2340"/>
          </w:tcPr>
          <w:p>
            <w:r>
              <w:t>DIAG-ARCH-LAYERS</w:t>
            </w:r>
          </w:p>
        </w:tc>
      </w:tr>
      <w:tr>
        <w:tc>
          <w:tcPr>
            <w:tcW w:type="dxa" w:w="2340"/>
          </w:tcPr>
          <w:p>
            <w:r>
              <w:t>Figure 2</w:t>
            </w:r>
          </w:p>
        </w:tc>
        <w:tc>
          <w:tcPr>
            <w:tcW w:type="dxa" w:w="2340"/>
          </w:tcPr>
          <w:p>
            <w:r>
              <w:t>Evidence-to-manual promotion path.</w:t>
            </w:r>
          </w:p>
        </w:tc>
        <w:tc>
          <w:tcPr>
            <w:tcW w:type="dxa" w:w="2340"/>
          </w:tcPr>
          <w:p>
            <w:r>
              <w:t>ANCHOR-MANUAL-DIAGRAMS</w:t>
            </w:r>
          </w:p>
        </w:tc>
        <w:tc>
          <w:tcPr>
            <w:tcW w:type="dxa" w:w="2340"/>
          </w:tcPr>
          <w:p>
            <w:r>
              <w:t>DIAG-EVIDENCE-PIPELINE</w:t>
            </w:r>
          </w:p>
        </w:tc>
      </w:tr>
      <w:tr>
        <w:tc>
          <w:tcPr>
            <w:tcW w:type="dxa" w:w="2340"/>
          </w:tcPr>
          <w:p>
            <w:r>
              <w:t>Figure 3</w:t>
            </w:r>
          </w:p>
        </w:tc>
        <w:tc>
          <w:tcPr>
            <w:tcW w:type="dxa" w:w="2340"/>
          </w:tcPr>
          <w:p>
            <w:r>
              <w:t>Trinity header dependency and roles.</w:t>
            </w:r>
          </w:p>
        </w:tc>
        <w:tc>
          <w:tcPr>
            <w:tcW w:type="dxa" w:w="2340"/>
          </w:tcPr>
          <w:p>
            <w:r>
              <w:t>ANCHOR-X64-TRINITY</w:t>
            </w:r>
          </w:p>
        </w:tc>
        <w:tc>
          <w:tcPr>
            <w:tcW w:type="dxa" w:w="2340"/>
          </w:tcPr>
          <w:p>
            <w:r>
              <w:t>DIAG-TRINITY-HEADERS</w:t>
            </w:r>
          </w:p>
        </w:tc>
      </w:tr>
      <w:tr>
        <w:tc>
          <w:tcPr>
            <w:tcW w:type="dxa" w:w="2340"/>
          </w:tcPr>
          <w:p>
            <w:r>
              <w:t>Figure 4</w:t>
            </w:r>
          </w:p>
        </w:tc>
        <w:tc>
          <w:tcPr>
            <w:tcW w:type="dxa" w:w="2340"/>
          </w:tcPr>
          <w:p>
            <w:r>
              <w:t>In-file X64M self-description.</w:t>
            </w:r>
          </w:p>
        </w:tc>
        <w:tc>
          <w:tcPr>
            <w:tcW w:type="dxa" w:w="2340"/>
          </w:tcPr>
          <w:p>
            <w:r>
              <w:t>ANCHOR-X64-VECTOR-NAMES</w:t>
            </w:r>
          </w:p>
        </w:tc>
        <w:tc>
          <w:tcPr>
            <w:tcW w:type="dxa" w:w="2340"/>
          </w:tcPr>
          <w:p>
            <w:r>
              <w:t>DIAG-X64-SELF-DESCRIBING</w:t>
            </w:r>
          </w:p>
        </w:tc>
      </w:tr>
      <w:tr>
        <w:tc>
          <w:tcPr>
            <w:tcW w:type="dxa" w:w="2340"/>
          </w:tcPr>
          <w:p>
            <w:r>
              <w:t>Figure 5</w:t>
            </w:r>
          </w:p>
        </w:tc>
        <w:tc>
          <w:tcPr>
            <w:tcW w:type="dxa" w:w="2340"/>
          </w:tcPr>
          <w:p>
            <w:r>
              <w:t>Source usage contracts into guide entries.</w:t>
            </w:r>
          </w:p>
        </w:tc>
        <w:tc>
          <w:tcPr>
            <w:tcW w:type="dxa" w:w="2340"/>
          </w:tcPr>
          <w:p>
            <w:r>
              <w:t>ANCHOR-COMMAND-USAGE-HARVEST</w:t>
            </w:r>
          </w:p>
        </w:tc>
        <w:tc>
          <w:tcPr>
            <w:tcW w:type="dxa" w:w="2340"/>
          </w:tcPr>
          <w:p>
            <w:r>
              <w:t>DIAG-COMMAND-HARVEST</w:t>
            </w:r>
          </w:p>
        </w:tc>
      </w:tr>
      <w:tr>
        <w:tc>
          <w:tcPr>
            <w:tcW w:type="dxa" w:w="2340"/>
          </w:tcPr>
          <w:p>
            <w:r>
              <w:t>Figure 6</w:t>
            </w:r>
          </w:p>
        </w:tc>
        <w:tc>
          <w:tcPr>
            <w:tcW w:type="dxa" w:w="2340"/>
          </w:tcPr>
          <w:p>
            <w:r>
              <w:t>Current area and current record model.</w:t>
            </w:r>
          </w:p>
        </w:tc>
        <w:tc>
          <w:tcPr>
            <w:tcW w:type="dxa" w:w="2340"/>
          </w:tcPr>
          <w:p>
            <w:r>
              <w:t>ANCHOR-CURSOR-WORKAREAS</w:t>
            </w:r>
          </w:p>
        </w:tc>
        <w:tc>
          <w:tcPr>
            <w:tcW w:type="dxa" w:w="2340"/>
          </w:tcPr>
          <w:p>
            <w:r>
              <w:t>DIAG-WORKAREAS-CURSOR</w:t>
            </w:r>
          </w:p>
        </w:tc>
      </w:tr>
      <w:tr>
        <w:tc>
          <w:tcPr>
            <w:tcW w:type="dxa" w:w="2340"/>
          </w:tcPr>
          <w:p>
            <w:r>
              <w:t>Figure 7</w:t>
            </w:r>
          </w:p>
        </w:tc>
        <w:tc>
          <w:tcPr>
            <w:tcW w:type="dxa" w:w="2340"/>
          </w:tcPr>
          <w:p>
            <w:r>
              <w:t>Lock mutate unlock lifecycle.</w:t>
            </w:r>
          </w:p>
        </w:tc>
        <w:tc>
          <w:tcPr>
            <w:tcW w:type="dxa" w:w="2340"/>
          </w:tcPr>
          <w:p>
            <w:r>
              <w:t>ANCHOR-LOCKING</w:t>
            </w:r>
          </w:p>
        </w:tc>
        <w:tc>
          <w:tcPr>
            <w:tcW w:type="dxa" w:w="2340"/>
          </w:tcPr>
          <w:p>
            <w:r>
              <w:t>DIAG-LOCKING-LIFECYCLE</w:t>
            </w:r>
          </w:p>
        </w:tc>
      </w:tr>
      <w:tr>
        <w:tc>
          <w:tcPr>
            <w:tcW w:type="dxa" w:w="2340"/>
          </w:tcPr>
          <w:p>
            <w:r>
              <w:t>Figure 8</w:t>
            </w:r>
          </w:p>
        </w:tc>
        <w:tc>
          <w:tcPr>
            <w:tcW w:type="dxa" w:w="2340"/>
          </w:tcPr>
          <w:p>
            <w:r>
              <w:t>Buffered mutation closure.</w:t>
            </w:r>
          </w:p>
        </w:tc>
        <w:tc>
          <w:tcPr>
            <w:tcW w:type="dxa" w:w="2340"/>
          </w:tcPr>
          <w:p>
            <w:r>
              <w:t>ANCHOR-TABLE-BUFFER; ANCHOR-COMMIT-ROLLBACK</w:t>
            </w:r>
          </w:p>
        </w:tc>
        <w:tc>
          <w:tcPr>
            <w:tcW w:type="dxa" w:w="2340"/>
          </w:tcPr>
          <w:p>
            <w:r>
              <w:t>DIAG-BUFFER-COMMIT-ROLLBACK</w:t>
            </w:r>
          </w:p>
        </w:tc>
      </w:tr>
      <w:tr>
        <w:tc>
          <w:tcPr>
            <w:tcW w:type="dxa" w:w="2340"/>
          </w:tcPr>
          <w:p>
            <w:r>
              <w:t>Figure 9</w:t>
            </w:r>
          </w:p>
        </w:tc>
        <w:tc>
          <w:tcPr>
            <w:tcW w:type="dxa" w:w="2340"/>
          </w:tcPr>
          <w:p>
            <w:r>
              <w:t>Logical order versus backend storage.</w:t>
            </w:r>
          </w:p>
        </w:tc>
        <w:tc>
          <w:tcPr>
            <w:tcW w:type="dxa" w:w="2340"/>
          </w:tcPr>
          <w:p>
            <w:r>
              <w:t>ANCHOR-X64-INDEXING</w:t>
            </w:r>
          </w:p>
        </w:tc>
        <w:tc>
          <w:tcPr>
            <w:tcW w:type="dxa" w:w="2340"/>
          </w:tcPr>
          <w:p>
            <w:r>
              <w:t>DIAG-INDEX-ORDER</w:t>
            </w:r>
          </w:p>
        </w:tc>
      </w:tr>
      <w:tr>
        <w:tc>
          <w:tcPr>
            <w:tcW w:type="dxa" w:w="2340"/>
          </w:tcPr>
          <w:p>
            <w:r>
              <w:t>Figure 10</w:t>
            </w:r>
          </w:p>
        </w:tc>
        <w:tc>
          <w:tcPr>
            <w:tcW w:type="dxa" w:w="2340"/>
          </w:tcPr>
          <w:p>
            <w:r>
              <w:t>DBF memo object ID to DTX payload.</w:t>
            </w:r>
          </w:p>
        </w:tc>
        <w:tc>
          <w:tcPr>
            <w:tcW w:type="dxa" w:w="2340"/>
          </w:tcPr>
          <w:p>
            <w:r>
              <w:t>ANCHOR-X64-MEMOS</w:t>
            </w:r>
          </w:p>
        </w:tc>
        <w:tc>
          <w:tcPr>
            <w:tcW w:type="dxa" w:w="2340"/>
          </w:tcPr>
          <w:p>
            <w:r>
              <w:t>DIAG-MEMO-DTX</w:t>
            </w:r>
          </w:p>
        </w:tc>
      </w:tr>
      <w:tr>
        <w:tc>
          <w:tcPr>
            <w:tcW w:type="dxa" w:w="2340"/>
          </w:tcPr>
          <w:p>
            <w:r>
              <w:t>Figure 11</w:t>
            </w:r>
          </w:p>
        </w:tc>
        <w:tc>
          <w:tcPr>
            <w:tcW w:type="dxa" w:w="2340"/>
          </w:tcPr>
          <w:p>
            <w:r>
              <w:t>Full manual family shape.</w:t>
            </w:r>
          </w:p>
        </w:tc>
        <w:tc>
          <w:tcPr>
            <w:tcW w:type="dxa" w:w="2340"/>
          </w:tcPr>
          <w:p>
            <w:r>
              <w:t>ANCHOR-MANUAL-DIAGRAMS</w:t>
            </w:r>
          </w:p>
        </w:tc>
        <w:tc>
          <w:tcPr>
            <w:tcW w:type="dxa" w:w="2340"/>
          </w:tcPr>
          <w:p>
            <w:r>
              <w:t>DIAG-MANUAL-FAMILY</w:t>
            </w:r>
          </w:p>
        </w:tc>
      </w:tr>
      <w:tr>
        <w:tc>
          <w:tcPr>
            <w:tcW w:type="dxa" w:w="2340"/>
          </w:tcPr>
          <w:p>
            <w:r>
              <w:t>Figure 12</w:t>
            </w:r>
          </w:p>
        </w:tc>
        <w:tc>
          <w:tcPr>
            <w:tcW w:type="dxa" w:w="2340"/>
          </w:tcPr>
          <w:p>
            <w:r>
              <w:t>M0-M6 manual maturity ladder.</w:t>
            </w:r>
          </w:p>
        </w:tc>
        <w:tc>
          <w:tcPr>
            <w:tcW w:type="dxa" w:w="2340"/>
          </w:tcPr>
          <w:p>
            <w:r>
              <w:t>ANCHOR-MANUAL-DIAGRAMS</w:t>
            </w:r>
          </w:p>
        </w:tc>
        <w:tc>
          <w:tcPr>
            <w:tcW w:type="dxa" w:w="2340"/>
          </w:tcPr>
          <w:p>
            <w:r>
              <w:t>DIAG-MATURITY-MODEL</w:t>
            </w:r>
          </w:p>
        </w:tc>
      </w:tr>
      <w:tr>
        <w:tc>
          <w:tcPr>
            <w:tcW w:type="dxa" w:w="2340"/>
          </w:tcPr>
          <w:p>
            <w:r>
              <w:t>Figure 13</w:t>
            </w:r>
          </w:p>
        </w:tc>
        <w:tc>
          <w:tcPr>
            <w:tcW w:type="dxa" w:w="2340"/>
          </w:tcPr>
          <w:p>
            <w:r>
              <w:t>Run capture readback promote loop.</w:t>
            </w:r>
          </w:p>
        </w:tc>
        <w:tc>
          <w:tcPr>
            <w:tcW w:type="dxa" w:w="2340"/>
          </w:tcPr>
          <w:p>
            <w:r>
              <w:t>ANCHOR-RUNTIME-PROOFS</w:t>
            </w:r>
          </w:p>
        </w:tc>
        <w:tc>
          <w:tcPr>
            <w:tcW w:type="dxa" w:w="2340"/>
          </w:tcPr>
          <w:p>
            <w:r>
              <w:t>DIAG-PROOF-LOOP</w:t>
            </w:r>
          </w:p>
        </w:tc>
      </w:tr>
    </w:tbl>
    <w:p>
      <w:r>
        <w:br w:type="page"/>
      </w:r>
    </w:p>
    <w:p>
      <w:pPr>
        <w:pStyle w:val="Heading1"/>
      </w:pPr>
      <w:r>
        <w:t>Manual Body</w:t>
      </w:r>
    </w:p>
    <w:p>
      <w:pPr>
        <w:pStyle w:val="Heading1"/>
      </w:pPr>
      <w:r>
        <w:t>DotTalk++ Reader Manual v1</w:t>
      </w:r>
    </w:p>
    <w:p>
      <w:r>
        <w:t>Status: reader-facing manual</w:t>
      </w:r>
    </w:p>
    <w:p>
      <w:r>
        <w:t>Audience: new DotTalk++ user, human developer, AI development agent</w:t>
      </w:r>
    </w:p>
    <w:p>
      <w:r>
        <w:t>Source root: D:\code\ccode</w:t>
      </w:r>
    </w:p>
    <w:p>
      <w:r>
        <w:t>Promoted from curated harvest material and runtime proofs on 2026-06-28</w:t>
      </w:r>
    </w:p>
    <w:p>
      <w:r>
        <w:t>This manual is the first clean reader-facing pass over the current DotTalk++ documentation harvest. It is intentionally smaller than the harvest bundle. The goal is to explain what to run, what each workflow means, and what evidence a developer or AI agent should collect before changing runtime behavior.</w:t>
      </w:r>
    </w:p>
    <w:p>
      <w:r>
        <w:t>The raw source pool remains available in:</w:t>
      </w:r>
    </w:p>
    <w:p>
      <w:pPr>
        <w:pStyle w:val="ListBullet"/>
      </w:pPr>
      <w:r>
        <w:t>DEVELOPER_MANUAL_HARVEST_INSPECTION_V1.md</w:t>
      </w:r>
    </w:p>
    <w:p>
      <w:pPr>
        <w:pStyle w:val="ListBullet"/>
      </w:pPr>
      <w:r>
        <w:t>DEVELOPER_MANUAL_HARVEST_QUALITY_SCAN_V1.md</w:t>
      </w:r>
    </w:p>
    <w:p>
      <w:pPr>
        <w:pStyle w:val="ListBullet"/>
      </w:pPr>
      <w:r>
        <w:t>DEVELOPER_MANUAL_HARVEST_MANIFEST_V1.csv</w:t>
      </w:r>
    </w:p>
    <w:p>
      <w:pPr>
        <w:pStyle w:val="ListBullet"/>
      </w:pPr>
      <w:r>
        <w:t>DOTTALKPP_DOTSCRIPT_AND_DEV_HANDOFF_V1.md</w:t>
      </w:r>
    </w:p>
    <w:p>
      <w:r>
        <w:t>The manual generation anchor map is:</w:t>
      </w:r>
    </w:p>
    <w:p>
      <w:pPr>
        <w:pStyle w:val="ListBullet"/>
      </w:pPr>
      <w:r>
        <w:t>DOTTALKPP_MANUAL_ANCHOR_MAP_V1.md</w:t>
      </w:r>
    </w:p>
    <w:p>
      <w:pPr>
        <w:pStyle w:val="ListBullet"/>
      </w:pPr>
      <w:r>
        <w:t>docs/manuals/anchors/manual_generation_anchor_map_v1.csv</w:t>
      </w:r>
    </w:p>
    <w:p>
      <w:pPr>
        <w:pStyle w:val="ListBullet"/>
      </w:pPr>
      <w:r>
        <w:t>docs/manuals/assets/diagrams/MANUAL_DIAGRAM_ASSET_REGISTRY_V1.md</w:t>
      </w:r>
    </w:p>
    <w:p>
      <w:pPr>
        <w:pStyle w:val="ListBullet"/>
      </w:pPr>
      <w:r>
        <w:t>docs/manuals/assets/diagrams/manual_diagram_asset_registry_v1.csv</w:t>
      </w:r>
    </w:p>
    <w:p>
      <w:r>
        <w:t>The prose guide for turning anchors into readable sections is:</w:t>
      </w:r>
    </w:p>
    <w:p>
      <w:pPr>
        <w:pStyle w:val="ListBullet"/>
      </w:pPr>
      <w:r>
        <w:t>DOTTALKPP_MANUAL_PROSE_GUIDE_V1.md</w:t>
      </w:r>
    </w:p>
    <w:p>
      <w:pPr>
        <w:pStyle w:val="ListBullet"/>
      </w:pPr>
      <w:r>
        <w:t>DOTTALKPP_PROFESSIONAL_MANUAL_BLUEPRINT_V1.md</w:t>
      </w:r>
    </w:p>
    <w:p>
      <w:pPr>
        <w:pStyle w:val="ListBullet"/>
      </w:pPr>
      <w:r>
        <w:t>DOTTALKPP_MANUAL_MATURITY_MODEL_V1.md</w:t>
      </w:r>
    </w:p>
    <w:p>
      <w:pPr>
        <w:pStyle w:val="Heading2"/>
      </w:pPr>
      <w:r>
        <w:t>1. What DotTalk++ Is</w:t>
      </w:r>
    </w:p>
    <w:p>
      <w:pPr>
        <w:jc w:val="center"/>
      </w:pPr>
      <w:r>
        <w:drawing>
          <wp:inline xmlns:a="http://schemas.openxmlformats.org/drawingml/2006/main" xmlns:pic="http://schemas.openxmlformats.org/drawingml/2006/picture">
            <wp:extent cx="5760720" cy="3374136"/>
            <wp:docPr id="1" name="Picture 1"/>
            <wp:cNvGraphicFramePr>
              <a:graphicFrameLocks noChangeAspect="1"/>
            </wp:cNvGraphicFramePr>
            <a:graphic>
              <a:graphicData uri="http://schemas.openxmlformats.org/drawingml/2006/picture">
                <pic:pic>
                  <pic:nvPicPr>
                    <pic:cNvPr id="0" name="diag-arch-layers.png"/>
                    <pic:cNvPicPr/>
                  </pic:nvPicPr>
                  <pic:blipFill>
                    <a:blip r:embed="rId9"/>
                    <a:stretch>
                      <a:fillRect/>
                    </a:stretch>
                  </pic:blipFill>
                  <pic:spPr>
                    <a:xfrm>
                      <a:off x="0" y="0"/>
                      <a:ext cx="5760720" cy="3374136"/>
                    </a:xfrm>
                    <a:prstGeom prst="rect"/>
                  </pic:spPr>
                </pic:pic>
              </a:graphicData>
            </a:graphic>
          </wp:inline>
        </w:drawing>
      </w:r>
    </w:p>
    <w:p>
      <w:pPr>
        <w:pStyle w:val="Caption"/>
        <w:jc w:val="center"/>
      </w:pPr>
      <w:r>
        <w:t>Figure 1. Four-layer working model. (DIAG-ARCH-LAYERS, ANCHOR-X64BASE-README).</w:t>
      </w:r>
    </w:p>
    <w:p>
      <w:r>
        <w:t>DotTalk++ / x64base is a working educational xBase / FoxPro-inspired database runtime, command shell, and architecture lab built in modern C++.</w:t>
      </w:r>
    </w:p>
    <w:p>
      <w:r>
        <w:t>It is not presented as a finished commercial database product. It is a working educational and research system: part DBF database runtime, part command shell, part historical teaching environment, part metadata experiment, and part architecture laboratory.</w:t>
      </w:r>
    </w:p>
    <w:p>
      <w:r>
        <w:t>The project draws inspiration from the classic xBase lineage:</w:t>
      </w:r>
    </w:p>
    <w:p>
      <w:pPr>
        <w:spacing w:before="60" w:after="160"/>
        <w:ind w:left="360"/>
      </w:pPr>
      <w:r>
        <w:rPr>
          <w:rFonts w:ascii="Consolas" w:hAnsi="Consolas"/>
          <w:sz w:val="18"/>
        </w:rPr>
        <w:t>dBase   - early interactive database shell</w:t>
        <w:br/>
        <w:t>Clipper - compiled xBase systems</w:t>
        <w:br/>
        <w:t>FoxPro  - relational navigation and index-driven querying</w:t>
      </w:r>
    </w:p>
    <w:p>
      <w:r>
        <w:t>DotTalk++ preserves useful ideas from those systems while extending them with modern C++ structure, help catalogs, relation traversal, tuple projection, scripting, automation, metadata tables, validation tools, browsers, and simple text user interface surfaces.</w:t>
      </w:r>
    </w:p>
    <w:p>
      <w:r>
        <w:t>It is not a direct port of an older product. It is a broader reimplementation and expansion.</w:t>
      </w:r>
    </w:p>
    <w:p>
      <w:r>
        <w:t>DotTalk++ sits between FoxPro and Clipper:</w:t>
      </w:r>
    </w:p>
    <w:p>
      <w:pPr>
        <w:spacing w:before="60" w:after="160"/>
        <w:ind w:left="360"/>
      </w:pPr>
      <w:r>
        <w:rPr>
          <w:rFonts w:ascii="Consolas" w:hAnsi="Consolas"/>
          <w:sz w:val="18"/>
        </w:rPr>
        <w:t>interactive and stateful like FoxPro</w:t>
        <w:br/>
        <w:t>extensible and compilable like Clipper</w:t>
      </w:r>
    </w:p>
    <w:p>
      <w:r>
        <w:t>The project is intended to serve as:</w:t>
      </w:r>
    </w:p>
    <w:p>
      <w:pPr>
        <w:pStyle w:val="ListBullet"/>
      </w:pPr>
      <w:r>
        <w:t>a working DBF database runtime</w:t>
      </w:r>
    </w:p>
    <w:p>
      <w:pPr>
        <w:pStyle w:val="ListBullet"/>
      </w:pPr>
      <w:r>
        <w:t>a relational exploration environment</w:t>
      </w:r>
    </w:p>
    <w:p>
      <w:pPr>
        <w:pStyle w:val="ListBullet"/>
      </w:pPr>
      <w:r>
        <w:t>a scripting and automation shell</w:t>
      </w:r>
    </w:p>
    <w:p>
      <w:pPr>
        <w:pStyle w:val="ListBullet"/>
      </w:pPr>
      <w:r>
        <w:t>a teaching system for database concepts</w:t>
      </w:r>
    </w:p>
    <w:p>
      <w:pPr>
        <w:pStyle w:val="ListBullet"/>
      </w:pPr>
      <w:r>
        <w:t>an architecture lab for metadata, HELP, validation, and browser design</w:t>
      </w:r>
    </w:p>
    <w:p>
      <w:r>
        <w:t>A major design goal is for DotTalk++ to become increasingly self-documenting. Commands, functions, arguments, aliases, subcommands, metadata tables, HELP output, validation reports, scripts, browsers, and TUI surfaces are being designed to reinforce each other instead of living as separate hand-written descriptions.</w:t>
      </w:r>
    </w:p>
    <w:p>
      <w:r>
        <w:t>Some subsystems are runtime-proven. Other subsystems are canaries, source-supported features, or integration work. The repository is intentionally honest about that distinction. The goal is to build finished educational tools, database utilities, and applications from proven layers, not to pretend every subsystem is complete at the same time.</w:t>
      </w:r>
    </w:p>
    <w:p>
      <w:pPr>
        <w:pStyle w:val="Heading3"/>
      </w:pPr>
      <w:r>
        <w:t>History</w:t>
      </w:r>
    </w:p>
    <w:p>
      <w:r>
        <w:t>DotTalk++ traces back to 1993, when Derald Grimwood wrote a small ANSI C database program as a practical and experimental system. That early program included fixed-length record storage and a simple in-memory B-tree.</w:t>
      </w:r>
    </w:p>
    <w:p>
      <w:r>
        <w:t>In 2025, the earlier work was revived and used as the conceptual basis for a modern 64-bit rebuild in C++. The result became DotTalk++: not a direct port, but a broader reimplementation and expansion.</w:t>
      </w:r>
    </w:p>
    <w:p>
      <w:r>
        <w:t>The project honors the xBase tradition while extending it into a modern, teachable, experiment-friendly database runtime.</w:t>
      </w:r>
    </w:p>
    <w:p>
      <w:r>
        <w:t>Part of the educational value is historical. DotTalk++ shows students a transitional period in computing: the 8-bit and early-16-bit personal-computer era of the 8088, 8086, DOS, text UIs, command systems, DBF files, and direct file-based data work.</w:t>
      </w:r>
    </w:p>
    <w:p>
      <w:r>
        <w:t>This is not nostalgia for its own sake. It is a way to make the layers visible.</w:t>
      </w:r>
    </w:p>
    <w:p>
      <w:pPr>
        <w:pStyle w:val="Heading3"/>
      </w:pPr>
      <w:r>
        <w:t>Educational Purpose</w:t>
      </w:r>
    </w:p>
    <w:p>
      <w:r>
        <w:t>DotTalk++ is built for learning as much as for execution. The system is intended to help students see concepts that are usually hidden:</w:t>
      </w:r>
    </w:p>
    <w:p>
      <w:pPr>
        <w:spacing w:before="60" w:after="160"/>
        <w:ind w:left="360"/>
      </w:pPr>
      <w:r>
        <w:rPr>
          <w:rFonts w:ascii="Consolas" w:hAnsi="Consolas"/>
          <w:sz w:val="18"/>
        </w:rPr>
        <w:t>table files</w:t>
        <w:br/>
        <w:t>records</w:t>
        <w:br/>
        <w:t>fields</w:t>
        <w:br/>
        <w:t>field types</w:t>
        <w:br/>
        <w:t>work areas</w:t>
        <w:br/>
        <w:t>indexes</w:t>
        <w:br/>
        <w:t>index tags</w:t>
        <w:br/>
        <w:t>relations</w:t>
        <w:br/>
        <w:t>tuple traversal</w:t>
        <w:br/>
        <w:t>schemas</w:t>
        <w:br/>
        <w:t>metadata</w:t>
        <w:br/>
        <w:t>HELP generation</w:t>
        <w:br/>
        <w:t>runtime validation</w:t>
        <w:br/>
        <w:t>simple text interfaces</w:t>
        <w:br/>
        <w:t>command discovery</w:t>
      </w:r>
    </w:p>
    <w:p>
      <w:r>
        <w:t>Instead of presenting the database as a black box, DotTalk++ exposes the moving parts. A student can open a table, inspect its structure, browse records, change order, see relation trees, follow child records, inspect metadata tables, use HELP, run validation checks, and compare command documentation against runtime reflection.</w:t>
      </w:r>
    </w:p>
    <w:p>
      <w:r>
        <w:t>The goal is not to teach old software as a museum piece. The goal is to use an understandable historical model to explain modern ideas:</w:t>
      </w:r>
    </w:p>
    <w:p>
      <w:pPr>
        <w:spacing w:before="60" w:after="160"/>
        <w:ind w:left="360"/>
      </w:pPr>
      <w:r>
        <w:rPr>
          <w:rFonts w:ascii="Consolas" w:hAnsi="Consolas"/>
          <w:sz w:val="18"/>
        </w:rPr>
        <w:t>classic DBF tables        -&gt; structured storage</w:t>
        <w:br/>
        <w:t>records and fields        -&gt; physical data modeling</w:t>
        <w:br/>
        <w:t>indexes                   -&gt; access paths</w:t>
        <w:br/>
        <w:t>work areas                -&gt; runtime context</w:t>
        <w:br/>
        <w:t>relations                 -&gt; graph navigation</w:t>
        <w:br/>
        <w:t>tuple grids               -&gt; joined views</w:t>
        <w:br/>
        <w:t>metadata tables           -&gt; self-description</w:t>
        <w:br/>
        <w:t>HELP and CMDHELPCHK       -&gt; documentation as executable contract</w:t>
        <w:br/>
        <w:t>simple TUI menus          -&gt; command discovery and reinforcement</w:t>
        <w:br/>
        <w:t>scripts                   -&gt; repeatable workflows</w:t>
      </w:r>
    </w:p>
    <w:p>
      <w:pPr>
        <w:pStyle w:val="Heading3"/>
      </w:pPr>
      <w:r>
        <w:t>Design Philosophy</w:t>
      </w:r>
    </w:p>
    <w:p>
      <w:r>
        <w:t>DotTalk++ is built around a few practical beliefs:</w:t>
      </w:r>
    </w:p>
    <w:p>
      <w:pPr>
        <w:pStyle w:val="ListBullet"/>
      </w:pPr>
      <w:r>
        <w:t>Preserve the engineering behavior of FoxPro/xBase where it still makes sense.</w:t>
      </w:r>
    </w:p>
    <w:p>
      <w:pPr>
        <w:pStyle w:val="ListBullet"/>
      </w:pPr>
      <w:r>
        <w:t>Avoid copying branding or unnecessary legacy constraints.</w:t>
      </w:r>
    </w:p>
    <w:p>
      <w:pPr>
        <w:pStyle w:val="ListBullet"/>
      </w:pPr>
      <w:r>
        <w:t>Separate engine, interface, metadata, HELP, validation, and storage concerns.</w:t>
      </w:r>
    </w:p>
    <w:p>
      <w:pPr>
        <w:pStyle w:val="ListBullet"/>
      </w:pPr>
      <w:r>
        <w:t>Keep the command surface understandable.</w:t>
      </w:r>
    </w:p>
    <w:p>
      <w:pPr>
        <w:pStyle w:val="ListBullet"/>
      </w:pPr>
      <w:r>
        <w:t>Let runtime behavior prove architecture.</w:t>
      </w:r>
    </w:p>
    <w:p>
      <w:pPr>
        <w:pStyle w:val="ListBullet"/>
      </w:pPr>
      <w:r>
        <w:t>Teach by exposing records, fields, indexes, relations, work areas, metadata, HELP, and validation.</w:t>
      </w:r>
    </w:p>
    <w:p>
      <w:pPr>
        <w:pStyle w:val="ListBullet"/>
      </w:pPr>
      <w:r>
        <w:t>Use the command surface as a learning tool, not just an operator interface.</w:t>
      </w:r>
    </w:p>
    <w:p>
      <w:pPr>
        <w:pStyle w:val="ListBullet"/>
      </w:pPr>
      <w:r>
        <w:t>Treat the simple TUI as reinforcement for command discovery and historical context.</w:t>
      </w:r>
    </w:p>
    <w:p>
      <w:pPr>
        <w:pStyle w:val="ListBullet"/>
      </w:pPr>
      <w:r>
        <w:t>Design toward a self-documenting runtime: commands, functions, metadata, HELP, reports, browsers, and validators should agree.</w:t>
      </w:r>
    </w:p>
    <w:p>
      <w:r>
        <w:t>A useful project rule:</w:t>
      </w:r>
    </w:p>
    <w:p>
      <w:pPr>
        <w:spacing w:before="60" w:after="160"/>
        <w:ind w:left="360"/>
      </w:pPr>
      <w:r>
        <w:rPr>
          <w:rFonts w:ascii="Consolas" w:hAnsi="Consolas"/>
          <w:sz w:val="18"/>
        </w:rPr>
        <w:t>Source defines.</w:t>
        <w:br/>
        <w:t>Runtime proves.</w:t>
        <w:br/>
        <w:t>HELP explains.</w:t>
        <w:br/>
        <w:t>Metadata organizes.</w:t>
        <w:br/>
        <w:t>CMDHELPCHK validates.</w:t>
        <w:br/>
        <w:t>SelfDoc preserves provenance.</w:t>
        <w:br/>
        <w:t>DotScript executes reviewed procedures.</w:t>
        <w:br/>
        <w:t>Manualgen and maintenance packages preserve development intent.</w:t>
      </w:r>
    </w:p>
    <w:p>
      <w:r>
        <w:t>The README form of the same rule is:</w:t>
      </w:r>
    </w:p>
    <w:p>
      <w:pPr>
        <w:spacing w:before="60" w:after="160"/>
        <w:ind w:left="360"/>
      </w:pPr>
      <w:r>
        <w:rPr>
          <w:rFonts w:ascii="Consolas" w:hAnsi="Consolas"/>
          <w:sz w:val="18"/>
        </w:rPr>
        <w:t>Conventions suggest.</w:t>
        <w:br/>
        <w:t>Registration declares.</w:t>
        <w:br/>
        <w:t>Metadata records.</w:t>
        <w:br/>
        <w:t>Runtime proves.</w:t>
        <w:br/>
        <w:t>Validators enforce.</w:t>
      </w:r>
    </w:p>
    <w:p>
      <w:r>
        <w:t>DotTalk++ is intentionally stateful and interactive. It exposes important runtime concepts directly:</w:t>
      </w:r>
    </w:p>
    <w:p>
      <w:pPr>
        <w:spacing w:before="60" w:after="160"/>
        <w:ind w:left="360"/>
      </w:pPr>
      <w:r>
        <w:rPr>
          <w:rFonts w:ascii="Consolas" w:hAnsi="Consolas"/>
          <w:sz w:val="18"/>
        </w:rPr>
        <w:t>current work area</w:t>
        <w:br/>
        <w:t>current record pointer</w:t>
        <w:br/>
        <w:t>active order/index</w:t>
        <w:br/>
        <w:t>active filter</w:t>
        <w:br/>
        <w:t>relation graph</w:t>
        <w:br/>
        <w:t>buffering state</w:t>
        <w:br/>
        <w:t>workspace state</w:t>
      </w:r>
    </w:p>
    <w:p>
      <w:r>
        <w:t>The goal is to make database behavior visible during live operation rather than hiding it behind abstraction.</w:t>
      </w:r>
    </w:p>
    <w:p>
      <w:pPr>
        <w:pStyle w:val="Heading3"/>
      </w:pPr>
      <w:r>
        <w:t>Working Model</w:t>
      </w:r>
    </w:p>
    <w:p>
      <w:r>
        <w:t>DotTalk++ can be understood as four cooperating layers:</w:t>
      </w:r>
    </w:p>
    <w:p>
      <w:pPr>
        <w:spacing w:before="60" w:after="160"/>
        <w:ind w:left="360"/>
      </w:pPr>
      <w:r>
        <w:rPr>
          <w:rFonts w:ascii="Consolas" w:hAnsi="Consolas"/>
          <w:sz w:val="18"/>
        </w:rPr>
        <w:t>1. Command Layer</w:t>
        <w:br/>
        <w:t xml:space="preserve">   interactive commands, scripts, command discovery, and automation</w:t>
        <w:br/>
        <w:br/>
        <w:t>2. Data Layer</w:t>
        <w:br/>
        <w:t xml:space="preserve">   tables, records, fields, work areas, indexes, and storage behavior</w:t>
        <w:br/>
        <w:br/>
        <w:t>3. Logic Layer</w:t>
        <w:br/>
        <w:t xml:space="preserve">   expressions, predicates, functions, validation, and control flow</w:t>
        <w:br/>
        <w:br/>
        <w:t>4. Projection Layer</w:t>
        <w:br/>
        <w:t xml:space="preserve">   LIST, SMARTLIST, TUPLE, REL ENUM, ERSATZ, SMARTBROWSE, SIMPLEBROWSE, and other browsers</w:t>
      </w:r>
    </w:p>
    <w:p>
      <w:r>
        <w:t>This model separates:</w:t>
      </w:r>
    </w:p>
    <w:p>
      <w:pPr>
        <w:spacing w:before="60" w:after="160"/>
        <w:ind w:left="360"/>
      </w:pPr>
      <w:r>
        <w:rPr>
          <w:rFonts w:ascii="Consolas" w:hAnsi="Consolas"/>
          <w:sz w:val="18"/>
        </w:rPr>
        <w:t>what the user types</w:t>
        <w:br/>
        <w:t>what the data engine stores</w:t>
        <w:br/>
        <w:t>how logic is evaluated</w:t>
        <w:br/>
        <w:t>how results are projected back to the screen</w:t>
      </w:r>
    </w:p>
    <w:p>
      <w:r>
        <w:t>The important architectural parts are:</w:t>
      </w:r>
    </w:p>
    <w:p>
      <w:pPr>
        <w:pStyle w:val="ListBullet"/>
      </w:pPr>
      <w:r>
        <w:t>x64base: storage/runtime foundation, including DBF and index work.</w:t>
      </w:r>
    </w:p>
    <w:p>
      <w:pPr>
        <w:pStyle w:val="ListBullet"/>
      </w:pPr>
      <w:r>
        <w:t>DotTalk++ shell: command surface, work areas, table commands, HELP, scripts, and runtime validation.</w:t>
      </w:r>
    </w:p>
    <w:p>
      <w:pPr>
        <w:pStyle w:val="ListBullet"/>
      </w:pPr>
      <w:r>
        <w:t>DotScript: repeatable script/proof layer for running command sequences.</w:t>
      </w:r>
    </w:p>
    <w:p>
      <w:pPr>
        <w:pStyle w:val="ListBullet"/>
      </w:pPr>
      <w:r>
        <w:t>Schema and data dictionary files: contracts for tables, indexes, imports, and generated reports.</w:t>
      </w:r>
    </w:p>
    <w:p>
      <w:pPr>
        <w:pStyle w:val="ListBullet"/>
      </w:pPr>
      <w:r>
        <w:t>SelfDoc and manualgen: provenance, documentation, and maintenance workflow.</w:t>
      </w:r>
    </w:p>
    <w:p>
      <w:pPr>
        <w:pStyle w:val="ListBullet"/>
      </w:pPr>
      <w:r>
        <w:t>LabTalk: optional educational overlay and case catalog.</w:t>
      </w:r>
    </w:p>
    <w:p>
      <w:r>
        <w:t>Keep these boundaries clear. LabTalk and story/case material should not become a dependency for the professional runtime. Manualgen and maintenance internals should not be presented as ordinary user commands.</w:t>
      </w:r>
    </w:p>
    <w:p>
      <w:pPr>
        <w:pStyle w:val="Heading3"/>
      </w:pPr>
      <w:r>
        <w:t>Current Status Snapshot</w:t>
      </w:r>
    </w:p>
    <w:p>
      <w:r>
        <w:t>The x64base README describes the project as a working beta under active development. The current manual should preserve that honesty:</w:t>
      </w:r>
    </w:p>
    <w:p>
      <w:r>
        <w:rPr>
          <w:rFonts w:ascii="Consolas" w:hAnsi="Consolas"/>
          <w:sz w:val="16"/>
        </w:rPr>
        <w:t>| Component | Manual stance |</w:t>
      </w:r>
    </w:p>
    <w:p>
      <w:r>
        <w:rPr>
          <w:rFonts w:ascii="Consolas" w:hAnsi="Consolas"/>
          <w:sz w:val="16"/>
        </w:rPr>
        <w:t>|---|---|</w:t>
      </w:r>
    </w:p>
    <w:p>
      <w:r>
        <w:rPr>
          <w:rFonts w:ascii="Consolas" w:hAnsi="Consolas"/>
          <w:sz w:val="16"/>
        </w:rPr>
        <w:t>| Engine | Working beta. |</w:t>
      </w:r>
    </w:p>
    <w:p>
      <w:r>
        <w:rPr>
          <w:rFonts w:ascii="Consolas" w:hAnsi="Consolas"/>
          <w:sz w:val="16"/>
        </w:rPr>
        <w:t>| Indexing | INX/CNX/CDX/LMDB are active; promoted reader claims require transcripts. |</w:t>
      </w:r>
    </w:p>
    <w:p>
      <w:r>
        <w:rPr>
          <w:rFonts w:ascii="Consolas" w:hAnsi="Consolas"/>
          <w:sz w:val="16"/>
        </w:rPr>
        <w:t>| Memo system | Active with canaries; large-object and repair/compaction claims need proof. |</w:t>
      </w:r>
    </w:p>
    <w:p>
      <w:r>
        <w:rPr>
          <w:rFonts w:ascii="Consolas" w:hAnsi="Consolas"/>
          <w:sz w:val="16"/>
        </w:rPr>
        <w:t>| CLI and DotScript | Active and usable. |</w:t>
      </w:r>
    </w:p>
    <w:p>
      <w:r>
        <w:rPr>
          <w:rFonts w:ascii="Consolas" w:hAnsi="Consolas"/>
          <w:sz w:val="16"/>
        </w:rPr>
        <w:t>| Tuple, relations, and browsers | Active; selected relation and browser paths are runtime-proven in the README development checkpoint. |</w:t>
      </w:r>
    </w:p>
    <w:p>
      <w:r>
        <w:rPr>
          <w:rFonts w:ascii="Consolas" w:hAnsi="Consolas"/>
          <w:sz w:val="16"/>
        </w:rPr>
        <w:t>| HELP and metadata | Active; reflection-backed HELP exists and SYS* congruence validation is a next-step target. |</w:t>
      </w:r>
    </w:p>
    <w:p>
      <w:r>
        <w:rPr>
          <w:rFonts w:ascii="Consolas" w:hAnsi="Consolas"/>
          <w:sz w:val="16"/>
        </w:rPr>
        <w:t>| DDL | Active / partial. |</w:t>
      </w:r>
    </w:p>
    <w:p>
      <w:r>
        <w:rPr>
          <w:rFonts w:ascii="Consolas" w:hAnsi="Consolas"/>
          <w:sz w:val="16"/>
        </w:rPr>
        <w:t>| Python binding | Active with read-only smoke coverage. |</w:t>
      </w:r>
    </w:p>
    <w:p>
      <w:r>
        <w:rPr>
          <w:rFonts w:ascii="Consolas" w:hAnsi="Consolas"/>
          <w:sz w:val="16"/>
        </w:rPr>
        <w:t>| Simple TUI | Active / experimental; discovery and teaching layer, not the canonical runtime surface. |</w:t>
      </w:r>
    </w:p>
    <w:p>
      <w:r>
        <w:t>Manual rule: use this status snapshot as orientation, not as a substitute for proof. A feature becomes a reader workflow only when the manual has an anchor and a current transcript or an explicit maturity status.</w:t>
      </w:r>
    </w:p>
    <w:p>
      <w:pPr>
        <w:pStyle w:val="Heading2"/>
      </w:pPr>
      <w:r>
        <w:t>2. The Trinity Headers</w:t>
      </w:r>
    </w:p>
    <w:p>
      <w:pPr>
        <w:jc w:val="center"/>
      </w:pPr>
      <w:r>
        <w:drawing>
          <wp:inline xmlns:a="http://schemas.openxmlformats.org/drawingml/2006/main" xmlns:pic="http://schemas.openxmlformats.org/drawingml/2006/picture">
            <wp:extent cx="5760720" cy="3374136"/>
            <wp:docPr id="2" name="Picture 2"/>
            <wp:cNvGraphicFramePr>
              <a:graphicFrameLocks noChangeAspect="1"/>
            </wp:cNvGraphicFramePr>
            <a:graphic>
              <a:graphicData uri="http://schemas.openxmlformats.org/drawingml/2006/picture">
                <pic:pic>
                  <pic:nvPicPr>
                    <pic:cNvPr id="0" name="diag-trinity-headers.png"/>
                    <pic:cNvPicPr/>
                  </pic:nvPicPr>
                  <pic:blipFill>
                    <a:blip r:embed="rId10"/>
                    <a:stretch>
                      <a:fillRect/>
                    </a:stretch>
                  </pic:blipFill>
                  <pic:spPr>
                    <a:xfrm>
                      <a:off x="0" y="0"/>
                      <a:ext cx="5760720" cy="3374136"/>
                    </a:xfrm>
                    <a:prstGeom prst="rect"/>
                  </pic:spPr>
                </pic:pic>
              </a:graphicData>
            </a:graphic>
          </wp:inline>
        </w:drawing>
      </w:r>
    </w:p>
    <w:p>
      <w:pPr>
        <w:pStyle w:val="Caption"/>
        <w:jc w:val="center"/>
      </w:pPr>
      <w:r>
        <w:t>Figure 2. Trinity header dependency and roles. (DIAG-TRINITY-HEADERS, ANCHOR-X64-TRINITY).</w:t>
      </w:r>
    </w:p>
    <w:p>
      <w:r>
        <w:t>When this project says "the trinity headers," it means the three main xBase data-structure headers:</w:t>
      </w:r>
    </w:p>
    <w:p>
      <w:pPr>
        <w:spacing w:before="60" w:after="160"/>
        <w:ind w:left="360"/>
      </w:pPr>
      <w:r>
        <w:rPr>
          <w:rFonts w:ascii="Consolas" w:hAnsi="Consolas"/>
          <w:sz w:val="18"/>
        </w:rPr>
        <w:t>include/xbase.hpp</w:t>
        <w:br/>
        <w:t>include/xbase_vfp.hpp</w:t>
        <w:br/>
        <w:t>include/xbase_64.hpp</w:t>
      </w:r>
    </w:p>
    <w:p>
      <w:r>
        <w:t>They are the "three in one" data-structure spine for the runtime.</w:t>
      </w:r>
    </w:p>
    <w:p>
      <w:r>
        <w:rPr>
          <w:rFonts w:ascii="Consolas" w:hAnsi="Consolas"/>
          <w:sz w:val="16"/>
        </w:rPr>
        <w:t>| Header | Role | Reader meaning |</w:t>
      </w:r>
    </w:p>
    <w:p>
      <w:r>
        <w:rPr>
          <w:rFonts w:ascii="Consolas" w:hAnsi="Consolas"/>
          <w:sz w:val="16"/>
        </w:rPr>
        <w:t>|---|---|---|</w:t>
      </w:r>
    </w:p>
    <w:p>
      <w:r>
        <w:rPr>
          <w:rFonts w:ascii="Consolas" w:hAnsi="Consolas"/>
          <w:sz w:val="16"/>
        </w:rPr>
        <w:t>| xbase.hpp | Core xBase engine types, constants, DbArea/engine contracts, runtime area kind, capabilities, memo/index hooks. | The neutral runtime foundation. |</w:t>
      </w:r>
    </w:p>
    <w:p>
      <w:r>
        <w:rPr>
          <w:rFonts w:ascii="Consolas" w:hAnsi="Consolas"/>
          <w:sz w:val="16"/>
        </w:rPr>
        <w:t>| xbase_vfp.hpp | FoxPro / Visual FoxPro descriptor bridge, DBF level/flavor detection, VFP field extras, classic/VFP compatibility helpers. | The compatibility layer from classic DBF/FoxPro/VFP into DotTalk++. |</w:t>
      </w:r>
    </w:p>
    <w:p>
      <w:r>
        <w:rPr>
          <w:rFonts w:ascii="Consolas" w:hAnsi="Consolas"/>
          <w:sz w:val="16"/>
        </w:rPr>
        <w:t>| xbase_64.hpp | x64 dialect expansion layer, x64 version byte, large header extension, X64 metadata blocks, fallback descriptor policy, name resolution. | The x64base extension layer that carries modern 64-bit and metadata-aware structure. |</w:t>
      </w:r>
    </w:p>
    <w:p>
      <w:r>
        <w:t>The dependency direction matters:</w:t>
      </w:r>
    </w:p>
    <w:p>
      <w:pPr>
        <w:spacing w:before="60" w:after="160"/>
        <w:ind w:left="360"/>
      </w:pPr>
      <w:r>
        <w:rPr>
          <w:rFonts w:ascii="Consolas" w:hAnsi="Consolas"/>
          <w:sz w:val="18"/>
        </w:rPr>
        <w:t>xbase.hpp</w:t>
        <w:br/>
        <w:t xml:space="preserve">  -&gt; xbase_vfp.hpp</w:t>
        <w:br/>
        <w:t xml:space="preserve">    -&gt; xbase_64.hpp</w:t>
      </w:r>
    </w:p>
    <w:p>
      <w:r>
        <w:t>xbase.hpp stays neutral. xbase_vfp.hpp adds classic/FoxPro/VFP interpretation. xbase_64.hpp owns x64 extension structures, vector metadata, fallback descriptor policy, and authoritative name handling.</w:t>
      </w:r>
    </w:p>
    <w:p>
      <w:r>
        <w:t>This is separate from, but connected to, the reader-facing data model:</w:t>
      </w:r>
    </w:p>
    <w:p>
      <w:pPr>
        <w:spacing w:before="60" w:after="160"/>
        <w:ind w:left="360"/>
      </w:pPr>
      <w:r>
        <w:rPr>
          <w:rFonts w:ascii="Consolas" w:hAnsi="Consolas"/>
          <w:sz w:val="18"/>
        </w:rPr>
        <w:t>DBF/XDBF table storage</w:t>
        <w:br/>
        <w:t>CNX/CDX/INX order and index containers</w:t>
        <w:br/>
        <w:t>schema, HELP, and metadata contracts</w:t>
      </w:r>
    </w:p>
    <w:p>
      <w:r>
        <w:t>The headers define the data structure spine. The reader-facing model explains how users experience that spine through tables, indexes/orders, schemas, HELP, and metadata.</w:t>
      </w:r>
    </w:p>
    <w:p>
      <w:pPr>
        <w:pStyle w:val="Heading2"/>
      </w:pPr>
      <w:r>
        <w:t>3. xBase Lineage and Compatibility</w:t>
      </w:r>
    </w:p>
    <w:p>
      <w:r>
        <w:t>DotTalk++ should be introduced as an xBase/FoxPro-inspired runtime, not as a blind clone. Its vocabulary deliberately overlaps with the world of dBASE, Clipper, FoxPro, and Visual FoxPro: tables, work areas, commands, record navigation, USE, LIST, APPEND, REPLACE, SEEK, SET ORDER, and index tags.</w:t>
      </w:r>
    </w:p>
    <w:p>
      <w:r>
        <w:t>Reader-facing lineage:</w:t>
      </w:r>
    </w:p>
    <w:p>
      <w:r>
        <w:rPr>
          <w:rFonts w:ascii="Consolas" w:hAnsi="Consolas"/>
          <w:sz w:val="16"/>
        </w:rPr>
        <w:t>| Era/family | Manual stance |</w:t>
      </w:r>
    </w:p>
    <w:p>
      <w:r>
        <w:rPr>
          <w:rFonts w:ascii="Consolas" w:hAnsi="Consolas"/>
          <w:sz w:val="16"/>
        </w:rPr>
        <w:t>|---|---|</w:t>
      </w:r>
    </w:p>
    <w:p>
      <w:r>
        <w:rPr>
          <w:rFonts w:ascii="Consolas" w:hAnsi="Consolas"/>
          <w:sz w:val="16"/>
        </w:rPr>
        <w:t>| MS-DOS-era dBASE/xBase | Historical root for DBF tables, command navigation, work areas, and visible record operations. |</w:t>
      </w:r>
    </w:p>
    <w:p>
      <w:r>
        <w:rPr>
          <w:rFonts w:ascii="Consolas" w:hAnsi="Consolas"/>
          <w:sz w:val="16"/>
        </w:rPr>
        <w:t>| Clipper and DOS xBase applications | Useful lineage for compiled business workflows and direct command/data thinking. |</w:t>
      </w:r>
    </w:p>
    <w:p>
      <w:r>
        <w:rPr>
          <w:rFonts w:ascii="Consolas" w:hAnsi="Consolas"/>
          <w:sz w:val="16"/>
        </w:rPr>
        <w:t>| FoxPro and Visual FoxPro | Strongest vocabulary bridge for commands, indexes, tags, work areas, browse/list behavior, and business database workflows. |</w:t>
      </w:r>
    </w:p>
    <w:p>
      <w:r>
        <w:rPr>
          <w:rFonts w:ascii="Consolas" w:hAnsi="Consolas"/>
          <w:sz w:val="16"/>
        </w:rPr>
        <w:t>| Microsoft data pipeline era | Access, Excel, ODBC, SQL Server, and VFP are useful context for why xBase mattered in business data work. |</w:t>
      </w:r>
    </w:p>
    <w:p>
      <w:r>
        <w:rPr>
          <w:rFonts w:ascii="Consolas" w:hAnsi="Consolas"/>
          <w:sz w:val="16"/>
        </w:rPr>
        <w:t>| DotTalk++ / x64base | Modern C++ continuation: visible xBase-style operation plus schema, metadata, HELP evidence, DotScript, and x64-oriented storage/index work. |</w:t>
      </w:r>
    </w:p>
    <w:p>
      <w:r>
        <w:t>Compatibility rule: use lineage to explain vocabulary, but do not claim a specific dBASE/FoxPro/VFP behavior is supported unless the current runtime proves it. In the final manual, every compatibility claim should be marked as one of:</w:t>
      </w:r>
    </w:p>
    <w:p>
      <w:pPr>
        <w:pStyle w:val="ListBullet"/>
      </w:pPr>
      <w:r>
        <w:t>supported and transcript-proven</w:t>
      </w:r>
    </w:p>
    <w:p>
      <w:pPr>
        <w:pStyle w:val="ListBullet"/>
      </w:pPr>
      <w:r>
        <w:t>supported by current HELP/source contract</w:t>
      </w:r>
    </w:p>
    <w:p>
      <w:pPr>
        <w:pStyle w:val="ListBullet"/>
      </w:pPr>
      <w:r>
        <w:t>lineage/background only</w:t>
      </w:r>
    </w:p>
    <w:p>
      <w:pPr>
        <w:pStyle w:val="ListBullet"/>
      </w:pPr>
      <w:r>
        <w:t>future or experimental</w:t>
      </w:r>
    </w:p>
    <w:p>
      <w:r>
        <w:t>Current classification for this manual:</w:t>
      </w:r>
    </w:p>
    <w:p>
      <w:r>
        <w:rPr>
          <w:rFonts w:ascii="Consolas" w:hAnsi="Consolas"/>
          <w:sz w:val="16"/>
        </w:rPr>
        <w:t>| Claim area | Status | Evidence |</w:t>
      </w:r>
    </w:p>
    <w:p>
      <w:r>
        <w:rPr>
          <w:rFonts w:ascii="Consolas" w:hAnsi="Consolas"/>
          <w:sz w:val="16"/>
        </w:rPr>
        <w:t>|---|---|---|</w:t>
      </w:r>
    </w:p>
    <w:p>
      <w:r>
        <w:rPr>
          <w:rFonts w:ascii="Consolas" w:hAnsi="Consolas"/>
          <w:sz w:val="16"/>
        </w:rPr>
        <w:t>| DBF-style tables, fields, records, APPEND, REPLACE, LIST, STRUCT | Supported and transcript-proven | x64 walkthrough v2 transcript. |</w:t>
      </w:r>
    </w:p>
    <w:p>
      <w:r>
        <w:rPr>
          <w:rFonts w:ascii="Consolas" w:hAnsi="Consolas"/>
          <w:sz w:val="16"/>
        </w:rPr>
        <w:t>| CREATE X64 v64 table creation | Supported and transcript-proven | x64 walkthrough v2 transcript. |</w:t>
      </w:r>
    </w:p>
    <w:p>
      <w:r>
        <w:rPr>
          <w:rFonts w:ascii="Consolas" w:hAnsi="Consolas"/>
          <w:sz w:val="16"/>
        </w:rPr>
        <w:t>| CDX tag order on v64 tables with LMDB backing | Supported and transcript-proven | CDX order v2 transcript. |</w:t>
      </w:r>
    </w:p>
    <w:p>
      <w:r>
        <w:rPr>
          <w:rFonts w:ascii="Consolas" w:hAnsi="Consolas"/>
          <w:sz w:val="16"/>
        </w:rPr>
        <w:t>| SET INDEX TO &lt;cdx&gt; and SET ORDER TO TAG &lt;tag&gt; | Supported and transcript-proven for the CDX/LMDB v64 path | CDX order v2 transcript. |</w:t>
      </w:r>
    </w:p>
    <w:p>
      <w:r>
        <w:rPr>
          <w:rFonts w:ascii="Consolas" w:hAnsi="Consolas"/>
          <w:sz w:val="16"/>
        </w:rPr>
        <w:t>| DDL CREATE DBF ... FROM schema.json | Supported and transcript-proven for the tested schema path | schema DDL v2 transcript. |</w:t>
      </w:r>
    </w:p>
    <w:p>
      <w:r>
        <w:rPr>
          <w:rFonts w:ascii="Consolas" w:hAnsi="Consolas"/>
          <w:sz w:val="16"/>
        </w:rPr>
        <w:t>| LOCATE, GO TOP, GO BOTTOM, SKIP, RECNO, DISPLAY, SMARTLIST | Supported and transcript-proven for the tested forms | navigation/import/export probe transcript. |</w:t>
      </w:r>
    </w:p>
    <w:p>
      <w:r>
        <w:rPr>
          <w:rFonts w:ascii="Consolas" w:hAnsi="Consolas"/>
          <w:sz w:val="16"/>
        </w:rPr>
        <w:t>| CSV EXPORT and matching-table IMPORT | Supported and transcript-proven | export probe and import probe v2 transcripts. |</w:t>
      </w:r>
    </w:p>
    <w:p>
      <w:r>
        <w:rPr>
          <w:rFonts w:ascii="Consolas" w:hAnsi="Consolas"/>
          <w:sz w:val="16"/>
        </w:rPr>
        <w:t>| BROWSE PAGE ... QUIET and BROWSE ALL QUIET | Supported and transcript-proven for non-interactive listing | browse probe v1 transcript. |</w:t>
      </w:r>
    </w:p>
    <w:p>
      <w:r>
        <w:rPr>
          <w:rFonts w:ascii="Consolas" w:hAnsi="Consolas"/>
          <w:sz w:val="16"/>
        </w:rPr>
        <w:t>| CNX tag order on v32/schema-created tables | Supported and transcript-proven | CNX order v1 transcript. |</w:t>
      </w:r>
    </w:p>
    <w:p>
      <w:r>
        <w:rPr>
          <w:rFonts w:ascii="Consolas" w:hAnsi="Consolas"/>
          <w:sz w:val="16"/>
        </w:rPr>
        <w:t>| dBASE, Clipper, FoxPro, Visual FoxPro behavior beyond the tested command forms | Lineage/background only unless separately proven | case catalog and source harvest. |</w:t>
      </w:r>
    </w:p>
    <w:p>
      <w:r>
        <w:rPr>
          <w:rFonts w:ascii="Consolas" w:hAnsi="Consolas"/>
          <w:sz w:val="16"/>
        </w:rPr>
        <w:t>| DO X64 as setup/profile ceremony | Existing script vocabulary, but retired from the reader quickstart until an X64.dts profile is provided or a command form is proven | x64 walkthrough v1 transcript. |</w:t>
      </w:r>
    </w:p>
    <w:p>
      <w:pPr>
        <w:pStyle w:val="Heading2"/>
      </w:pPr>
      <w:r>
        <w:t>4. Build and Run</w:t>
      </w:r>
    </w:p>
    <w:p>
      <w:r>
        <w:t>Current proof-oriented runs should use the built executable:</w:t>
      </w:r>
    </w:p>
    <w:p>
      <w:pPr>
        <w:spacing w:before="60" w:after="160"/>
        <w:ind w:left="360"/>
      </w:pPr>
      <w:r>
        <w:rPr>
          <w:rFonts w:ascii="Consolas" w:hAnsi="Consolas"/>
          <w:sz w:val="18"/>
        </w:rPr>
        <w:t>&amp; D:\code\ccode\build\src\Release\dottalkpp.exe</w:t>
      </w:r>
    </w:p>
    <w:p>
      <w:r>
        <w:t>Verification status: transcript-proven in the proof runs in docs/manuals/developer/proofs; the current Release executable path was used for those runs.</w:t>
      </w:r>
    </w:p>
    <w:p>
      <w:r>
        <w:t>From the shell, use normal DotTalk++ commands interactively, or run repeatable command sequences through DotScript.</w:t>
      </w:r>
    </w:p>
    <w:p>
      <w:pPr>
        <w:pStyle w:val="Heading2"/>
      </w:pPr>
      <w:r>
        <w:t>5. Shell Basics</w:t>
      </w:r>
    </w:p>
    <w:p>
      <w:r>
        <w:t>The shell is the live command surface. Use it to open tables, inspect structures, add or edit records, build indexes, navigate records, and run scripts.</w:t>
      </w:r>
    </w:p>
    <w:p>
      <w:r>
        <w:t>Useful readback commands after table or schema work include:</w:t>
      </w:r>
    </w:p>
    <w:p>
      <w:pPr>
        <w:spacing w:before="60" w:after="160"/>
        <w:ind w:left="360"/>
      </w:pPr>
      <w:r>
        <w:rPr>
          <w:rFonts w:ascii="Consolas" w:hAnsi="Consolas"/>
          <w:sz w:val="18"/>
        </w:rPr>
        <w:t>STRUCT</w:t>
        <w:br/>
        <w:t>FIELDS</w:t>
        <w:br/>
        <w:t>LIST</w:t>
        <w:br/>
        <w:t>TUPLE</w:t>
        <w:br/>
        <w:t>STATUS</w:t>
      </w:r>
    </w:p>
    <w:p>
      <w:r>
        <w:t>Use a readback command after every creation or mutation example. A command that creates a table is not fully proven until the table is opened and inspected.</w:t>
      </w:r>
    </w:p>
    <w:p>
      <w:pPr>
        <w:pStyle w:val="Heading2"/>
      </w:pPr>
      <w:r>
        <w:t>6. DotScript</w:t>
      </w:r>
    </w:p>
    <w:p>
      <w:r>
        <w:t>DotScript is the repeatable procedure layer for DotTalk++. Use it when a workflow needs to be replayed, reviewed, or captured as proof.</w:t>
      </w:r>
    </w:p>
    <w:p>
      <w:r>
        <w:t>Use DotScript for:</w:t>
      </w:r>
    </w:p>
    <w:p>
      <w:pPr>
        <w:pStyle w:val="ListBullet"/>
      </w:pPr>
      <w:r>
        <w:t>reproducible runtime procedures</w:t>
      </w:r>
    </w:p>
    <w:p>
      <w:pPr>
        <w:pStyle w:val="ListBullet"/>
      </w:pPr>
      <w:r>
        <w:t>smoke tests</w:t>
      </w:r>
    </w:p>
    <w:p>
      <w:pPr>
        <w:pStyle w:val="ListBullet"/>
      </w:pPr>
      <w:r>
        <w:t>schema and table creation candidates</w:t>
      </w:r>
    </w:p>
    <w:p>
      <w:pPr>
        <w:pStyle w:val="ListBullet"/>
      </w:pPr>
      <w:r>
        <w:t>import/export experiments</w:t>
      </w:r>
    </w:p>
    <w:p>
      <w:pPr>
        <w:pStyle w:val="ListBullet"/>
      </w:pPr>
      <w:r>
        <w:t>guarded maintenance execution</w:t>
      </w:r>
    </w:p>
    <w:p>
      <w:pPr>
        <w:pStyle w:val="ListBullet"/>
      </w:pPr>
      <w:r>
        <w:t>command transcript generation</w:t>
      </w:r>
    </w:p>
    <w:p>
      <w:pPr>
        <w:pStyle w:val="ListBullet"/>
      </w:pPr>
      <w:r>
        <w:t>repeatable proof capture</w:t>
      </w:r>
    </w:p>
    <w:p>
      <w:r>
        <w:t>Run scripts from inside the DotTalk++ shell:</w:t>
      </w:r>
    </w:p>
    <w:p>
      <w:pPr>
        <w:spacing w:before="60" w:after="160"/>
        <w:ind w:left="360"/>
      </w:pPr>
      <w:r>
        <w:rPr>
          <w:rFonts w:ascii="Consolas" w:hAnsi="Consolas"/>
          <w:sz w:val="18"/>
        </w:rPr>
        <w:t>DOTSCRIPT &lt;file.dts&gt;</w:t>
        <w:br/>
        <w:t>DOTSCRIPT &lt;file.dts&gt; OUT &lt;transcript-file&gt;</w:t>
        <w:br/>
        <w:t>DOTSCRIPT TRACE &lt;file.dts&gt; OUT &lt;transcript-file&gt;</w:t>
      </w:r>
    </w:p>
    <w:p>
      <w:r>
        <w:t>Use DOTSCRIPT ... OUT ... when the result is meant to be reviewed later. The transcript is the evidence artifact.</w:t>
      </w:r>
    </w:p>
    <w:p>
      <w:r>
        <w:t>DotScript comments are skipped when they begin with one of these prefixes after trimming:</w:t>
      </w:r>
    </w:p>
    <w:p>
      <w:pPr>
        <w:spacing w:before="60" w:after="160"/>
        <w:ind w:left="360"/>
      </w:pPr>
      <w:r>
        <w:rPr>
          <w:rFonts w:ascii="Consolas" w:hAnsi="Consolas"/>
          <w:sz w:val="18"/>
        </w:rPr>
        <w:t>*</w:t>
        <w:br/>
        <w:t>//</w:t>
        <w:br/>
        <w:t>&amp;&amp;</w:t>
        <w:br/>
        <w:t>;</w:t>
      </w:r>
    </w:p>
    <w:p>
      <w:r>
        <w:t>Script resolution tries the typed path, then .dts, then scripts/, then tests/. Nesting is intentionally limited to a main script plus one subscript.</w:t>
      </w:r>
    </w:p>
    <w:p>
      <w:pPr>
        <w:pStyle w:val="Heading2"/>
      </w:pPr>
      <w:r>
        <w:t>7. The x64 Workflow</w:t>
      </w:r>
    </w:p>
    <w:p>
      <w:pPr>
        <w:jc w:val="center"/>
      </w:pPr>
      <w:r>
        <w:drawing>
          <wp:inline xmlns:a="http://schemas.openxmlformats.org/drawingml/2006/main" xmlns:pic="http://schemas.openxmlformats.org/drawingml/2006/picture">
            <wp:extent cx="5760720" cy="3374136"/>
            <wp:docPr id="3" name="Picture 3"/>
            <wp:cNvGraphicFramePr>
              <a:graphicFrameLocks noChangeAspect="1"/>
            </wp:cNvGraphicFramePr>
            <a:graphic>
              <a:graphicData uri="http://schemas.openxmlformats.org/drawingml/2006/picture">
                <pic:pic>
                  <pic:nvPicPr>
                    <pic:cNvPr id="0" name="diag-x64-self-describing.png"/>
                    <pic:cNvPicPr/>
                  </pic:nvPicPr>
                  <pic:blipFill>
                    <a:blip r:embed="rId11"/>
                    <a:stretch>
                      <a:fillRect/>
                    </a:stretch>
                  </pic:blipFill>
                  <pic:spPr>
                    <a:xfrm>
                      <a:off x="0" y="0"/>
                      <a:ext cx="5760720" cy="3374136"/>
                    </a:xfrm>
                    <a:prstGeom prst="rect"/>
                  </pic:spPr>
                </pic:pic>
              </a:graphicData>
            </a:graphic>
          </wp:inline>
        </w:drawing>
      </w:r>
    </w:p>
    <w:p>
      <w:pPr>
        <w:pStyle w:val="Caption"/>
        <w:jc w:val="center"/>
      </w:pPr>
      <w:r>
        <w:t>Figure 3. In-file X64M self-description. (DIAG-X64-SELF-DESCRIBING, ANCHOR-X64-VECTOR-NAMES).</w:t>
      </w:r>
    </w:p>
    <w:p>
      <w:r>
        <w:t>Existing x64 scripts commonly begin with:</w:t>
      </w:r>
    </w:p>
    <w:p>
      <w:pPr>
        <w:spacing w:before="60" w:after="160"/>
        <w:ind w:left="360"/>
      </w:pPr>
      <w:r>
        <w:rPr>
          <w:rFonts w:ascii="Consolas" w:hAnsi="Consolas"/>
          <w:sz w:val="18"/>
        </w:rPr>
        <w:t>DO X64</w:t>
      </w:r>
    </w:p>
    <w:p>
      <w:r>
        <w:t>Treat DO X64 as legacy/profile script vocabulary, not as the proven reader quickstart command. Do not remove it from existing x64 scripts as noise, but do not teach it as required for new readers until an X64.dts profile script or native command behavior is proven.</w:t>
      </w:r>
    </w:p>
    <w:p>
      <w:r>
        <w:t>Current Release proof note: in the 2026-06-28 proof run, DO X64 was interpreted through script resolution and reported script not found when no X64.dts profile script existed in the proof path. CREATE X64 itself still created and opened v64 DBFs successfully. For now, document DO X64 as legacy/profile ceremony used by existing scripts, and document CREATE X64 as the proven table-creation command.</w:t>
      </w:r>
    </w:p>
    <w:p>
      <w:r>
        <w:t>The reader-facing proven pattern is:</w:t>
      </w:r>
    </w:p>
    <w:p>
      <w:pPr>
        <w:spacing w:before="60" w:after="160"/>
        <w:ind w:left="360"/>
      </w:pPr>
      <w:r>
        <w:rPr>
          <w:rFonts w:ascii="Consolas" w:hAnsi="Consolas"/>
          <w:sz w:val="18"/>
        </w:rPr>
        <w:t>CREATE X64 &lt;table&gt; (&lt;field&gt; &lt;type&gt;, &lt;field&gt; &lt;type&gt;, ...)</w:t>
        <w:br/>
        <w:t>STRUCT</w:t>
      </w:r>
    </w:p>
    <w:p>
      <w:r>
        <w:t>Concrete example:</w:t>
      </w:r>
    </w:p>
    <w:p>
      <w:pPr>
        <w:spacing w:before="60" w:after="160"/>
        <w:ind w:left="360"/>
      </w:pPr>
      <w:r>
        <w:rPr>
          <w:rFonts w:ascii="Consolas" w:hAnsi="Consolas"/>
          <w:sz w:val="18"/>
        </w:rPr>
        <w:t>CREATE X64 DEV_STUDENTS (SID N(6,0), LNAME C(20), FNAME C(15), GPA N(4,2), ACTIVE L)</w:t>
        <w:br/>
        <w:t>STRUCT</w:t>
        <w:br/>
        <w:t>APPEND</w:t>
        <w:br/>
        <w:t>REPLACE LNAME WITH "MARTIN"</w:t>
        <w:br/>
        <w:t>REPLACE FNAME WITH "ADA"</w:t>
        <w:br/>
        <w:t>REPLACE GPA WITH 3.75</w:t>
        <w:br/>
        <w:t>REPLACE ACTIVE WITH .T.</w:t>
        <w:br/>
        <w:t>LIST</w:t>
      </w:r>
    </w:p>
    <w:p>
      <w:r>
        <w:t>Verification status: transcript-proven with docs/manuals/developer/proofs/reader_manual_x64_walkthrough_v2.transcript.txt.</w:t>
      </w:r>
    </w:p>
    <w:p>
      <w:r>
        <w:t>Observed behavior from the proof:</w:t>
      </w:r>
    </w:p>
    <w:p>
      <w:pPr>
        <w:pStyle w:val="ListBullet"/>
      </w:pPr>
      <w:r>
        <w:t>CREATE X64 RM_X64_V2 (...) created D:\code\ccode\build\src\Release\dbf\RM_X64_V2.dbf.</w:t>
      </w:r>
    </w:p>
    <w:p>
      <w:pPr>
        <w:pStyle w:val="ListBullet"/>
      </w:pPr>
      <w:r>
        <w:t>The table opened immediately after creation.</w:t>
      </w:r>
    </w:p>
    <w:p>
      <w:pPr>
        <w:pStyle w:val="ListBullet"/>
      </w:pPr>
      <w:r>
        <w:t>STRUCT showed the expected five fields.</w:t>
      </w:r>
    </w:p>
    <w:p>
      <w:pPr>
        <w:pStyle w:val="ListBullet"/>
      </w:pPr>
      <w:r>
        <w:t>APPEND created an auto-numbered SID value.</w:t>
      </w:r>
    </w:p>
    <w:p>
      <w:pPr>
        <w:pStyle w:val="ListBullet"/>
      </w:pPr>
      <w:r>
        <w:t>Character, numeric, and logical REPLACE commands ran.</w:t>
      </w:r>
    </w:p>
    <w:p>
      <w:pPr>
        <w:pStyle w:val="ListBullet"/>
      </w:pPr>
      <w:r>
        <w:t>LIST and STATUS proved readback.</w:t>
      </w:r>
    </w:p>
    <w:p>
      <w:r>
        <w:t>Do not use the older REPLACE SID WITH 1001 pattern in the reader manual without another transcript. In the v1 proof, numeric SID replacement failed while the append path auto-assigned SID values.</w:t>
      </w:r>
    </w:p>
    <w:p>
      <w:r>
        <w:t>Important CREATE X64 behavior:</w:t>
      </w:r>
    </w:p>
    <w:p>
      <w:pPr>
        <w:pStyle w:val="ListBullet"/>
      </w:pPr>
      <w:r>
        <w:t>CREATE X64 &lt;name&gt; (...) writes a DBF through the configured DBF path slot.</w:t>
      </w:r>
    </w:p>
    <w:p>
      <w:pPr>
        <w:pStyle w:val="ListBullet"/>
      </w:pPr>
      <w:r>
        <w:t>It closes the current area before creating the table.</w:t>
      </w:r>
    </w:p>
    <w:p>
      <w:pPr>
        <w:pStyle w:val="ListBullet"/>
      </w:pPr>
      <w:r>
        <w:t>It opens the new table after successful creation.</w:t>
      </w:r>
    </w:p>
    <w:p>
      <w:pPr>
        <w:pStyle w:val="ListBullet"/>
      </w:pPr>
      <w:r>
        <w:t>It clears active order state.</w:t>
      </w:r>
    </w:p>
    <w:p>
      <w:pPr>
        <w:pStyle w:val="ListBullet"/>
      </w:pPr>
      <w:r>
        <w:t>Memo fields attempt memo attach after open.</w:t>
      </w:r>
    </w:p>
    <w:p>
      <w:pPr>
        <w:pStyle w:val="ListBullet"/>
      </w:pPr>
      <w:r>
        <w:t>Long or colliding field names may receive descriptor-safe fallback tokens while retaining authoritative logical names where supported.</w:t>
      </w:r>
    </w:p>
    <w:p>
      <w:pPr>
        <w:pStyle w:val="Heading3"/>
      </w:pPr>
      <w:r>
        <w:t>Theoretical Limits of x64base</w:t>
      </w:r>
    </w:p>
    <w:p>
      <w:r>
        <w:t>x64base has two kinds of limits:</w:t>
      </w:r>
    </w:p>
    <w:p>
      <w:pPr>
        <w:pStyle w:val="ListBullet"/>
      </w:pPr>
      <w:r>
        <w:t>Format limits: what the x64 file structures can theoretically describe.</w:t>
      </w:r>
    </w:p>
    <w:p>
      <w:pPr>
        <w:pStyle w:val="ListBullet"/>
      </w:pPr>
      <w:r>
        <w:t>Runtime limits: what the current DbArea, loader, command surface, and proofed workflows can actually use today.</w:t>
      </w:r>
    </w:p>
    <w:p>
      <w:r>
        <w:t>The x64 header extension in include/xbase_64.hpp is a 64-byte structure with 64-bit fields:</w:t>
      </w:r>
    </w:p>
    <w:p>
      <w:pPr>
        <w:spacing w:before="60" w:after="160"/>
        <w:ind w:left="360"/>
      </w:pPr>
      <w:r>
        <w:rPr>
          <w:rFonts w:ascii="Consolas" w:hAnsi="Consolas"/>
          <w:sz w:val="18"/>
        </w:rPr>
        <w:t>record_count    uint64</w:t>
        <w:br/>
        <w:t>data_start_64   uint64</w:t>
        <w:br/>
        <w:t>record_size_64  uint64</w:t>
        <w:br/>
        <w:t>autoq_next      uint64</w:t>
      </w:r>
    </w:p>
    <w:p>
      <w:r>
        <w:t>That means the theoretical file-format direction is not the classic DBF ceiling. The design is aimed at very large record counts, large data offsets, large row geometry, and 64-bit autoincrement/sequence state.</w:t>
      </w:r>
    </w:p>
    <w:p>
      <w:r>
        <w:t>Current runtime caveat: the loader validates the x64 extension, then mirrors data_start_64 and record_size_64 into current DbArea fields that are still constrained by compatible 16-bit ranges. DbArea also exposes 64-bit record number/count state, but legacy APIs clamp the visible 32-bit versions. So the theoretical x64base ceiling is 64-bit, while the current reader-proven runtime should be described as a compatibility-stage x64 implementation.</w:t>
      </w:r>
    </w:p>
    <w:p>
      <w:r>
        <w:t>Reader rule: do not claim "unlimited" tables. Say x64base is designed around 64-bit record counts, offsets, record sizes, and sequence values, but current proven behavior is bounded by the active loader/runtime path.</w:t>
      </w:r>
    </w:p>
    <w:p>
      <w:pPr>
        <w:pStyle w:val="Heading3"/>
      </w:pPr>
      <w:r>
        <w:t>x64 Indexing Limits</w:t>
      </w:r>
    </w:p>
    <w:p>
      <w:r>
        <w:t>x64 indexing has the same split.</w:t>
      </w:r>
    </w:p>
    <w:p>
      <w:r>
        <w:t>For v64 tables, the proven reader workflow is:</w:t>
      </w:r>
    </w:p>
    <w:p>
      <w:pPr>
        <w:spacing w:before="60" w:after="160"/>
        <w:ind w:left="360"/>
      </w:pPr>
      <w:r>
        <w:rPr>
          <w:rFonts w:ascii="Consolas" w:hAnsi="Consolas"/>
          <w:sz w:val="18"/>
        </w:rPr>
        <w:t>CDX container</w:t>
        <w:br/>
        <w:t>LMDB backing environment</w:t>
        <w:br/>
        <w:t>SET INDEX TO &lt;table&gt;.cdx</w:t>
        <w:br/>
        <w:t>SET ORDER TO TAG &lt;tag&gt;</w:t>
      </w:r>
    </w:p>
    <w:p>
      <w:r>
        <w:t>The logical xBase concept is still simple: records have physical order, and an index/tag supplies logical order. The x64 implementation can back that logical order with a CDX container and LMDB environment.</w:t>
      </w:r>
    </w:p>
    <w:p>
      <w:r>
        <w:t>The theoretical limit of x64 indexing is therefore not just "how many records fit in an old .idx file." The direction is:</w:t>
      </w:r>
    </w:p>
    <w:p>
      <w:pPr>
        <w:pStyle w:val="ListBullet"/>
      </w:pPr>
      <w:r>
        <w:t>many records addressed through 64-bit table state</w:t>
      </w:r>
    </w:p>
    <w:p>
      <w:pPr>
        <w:pStyle w:val="ListBullet"/>
      </w:pPr>
      <w:r>
        <w:t>multi-tag logical containers</w:t>
      </w:r>
    </w:p>
    <w:p>
      <w:pPr>
        <w:pStyle w:val="ListBullet"/>
      </w:pPr>
      <w:r>
        <w:t>backend index environments capable of scaling beyond flat legacy index assumptions</w:t>
      </w:r>
    </w:p>
    <w:p>
      <w:pPr>
        <w:pStyle w:val="ListBullet"/>
      </w:pPr>
      <w:r>
        <w:t>physical backend hidden behind SET INDEX and SET ORDER</w:t>
      </w:r>
    </w:p>
    <w:p>
      <w:r>
        <w:t>Current runtime caveat: the reader manual has proven CDX/LMDB ordering for a small v64 table and CNX ordering for a v32/schema-created table. It has not proven billion-row traversal, huge LMDB maps, multi-gigabyte index rebuilds, or all index families at x64 scale.</w:t>
      </w:r>
    </w:p>
    <w:p>
      <w:pPr>
        <w:pStyle w:val="Heading3"/>
      </w:pPr>
      <w:r>
        <w:t>x64 Memo Limits</w:t>
      </w:r>
    </w:p>
    <w:p>
      <w:pPr>
        <w:jc w:val="center"/>
      </w:pPr>
      <w:r>
        <w:drawing>
          <wp:inline xmlns:a="http://schemas.openxmlformats.org/drawingml/2006/main" xmlns:pic="http://schemas.openxmlformats.org/drawingml/2006/picture">
            <wp:extent cx="5760720" cy="3374136"/>
            <wp:docPr id="4" name="Picture 4"/>
            <wp:cNvGraphicFramePr>
              <a:graphicFrameLocks noChangeAspect="1"/>
            </wp:cNvGraphicFramePr>
            <a:graphic>
              <a:graphicData uri="http://schemas.openxmlformats.org/drawingml/2006/picture">
                <pic:pic>
                  <pic:nvPicPr>
                    <pic:cNvPr id="0" name="diag-memo-dtx.png"/>
                    <pic:cNvPicPr/>
                  </pic:nvPicPr>
                  <pic:blipFill>
                    <a:blip r:embed="rId12"/>
                    <a:stretch>
                      <a:fillRect/>
                    </a:stretch>
                  </pic:blipFill>
                  <pic:spPr>
                    <a:xfrm>
                      <a:off x="0" y="0"/>
                      <a:ext cx="5760720" cy="3374136"/>
                    </a:xfrm>
                    <a:prstGeom prst="rect"/>
                  </pic:spPr>
                </pic:pic>
              </a:graphicData>
            </a:graphic>
          </wp:inline>
        </w:drawing>
      </w:r>
    </w:p>
    <w:p>
      <w:pPr>
        <w:pStyle w:val="Caption"/>
        <w:jc w:val="center"/>
      </w:pPr>
      <w:r>
        <w:t>Figure 4. DBF memo object ID to DTX payload. (DIAG-MEMO-DTX, ANCHOR-X64-MEMOS).</w:t>
      </w:r>
    </w:p>
    <w:p>
      <w:r>
        <w:t>x64 memos move away from old in-row memo text slots. include/xbase.hpp defines:</w:t>
      </w:r>
    </w:p>
    <w:p>
      <w:pPr>
        <w:spacing w:before="60" w:after="160"/>
        <w:ind w:left="360"/>
      </w:pPr>
      <w:r>
        <w:rPr>
          <w:rFonts w:ascii="Consolas" w:hAnsi="Consolas"/>
          <w:sz w:val="18"/>
        </w:rPr>
        <w:t>LEGACY_MEMO_FIELD_LEN = 10</w:t>
        <w:br/>
        <w:t>X64_MEMO_FIELD_LEN    = 8</w:t>
      </w:r>
    </w:p>
    <w:p>
      <w:r>
        <w:t>The x64 memo slot is an 8-byte uint64 object-id reference. The live memo backend is the DTX sidecar store. include/memo/dtx_format.hpp defines a DTX1 file with:</w:t>
      </w:r>
    </w:p>
    <w:p>
      <w:pPr>
        <w:spacing w:before="60" w:after="160"/>
        <w:ind w:left="360"/>
      </w:pPr>
      <w:r>
        <w:rPr>
          <w:rFonts w:ascii="Consolas" w:hAnsi="Consolas"/>
          <w:sz w:val="18"/>
        </w:rPr>
        <w:t>next_object_id       uint64</w:t>
        <w:br/>
        <w:t>object_count_live    uint64</w:t>
        <w:br/>
        <w:t>object_count_dead    uint64</w:t>
        <w:br/>
        <w:t>first_object_offset  uint64</w:t>
        <w:br/>
        <w:t>append_offset        uint64</w:t>
        <w:br/>
        <w:t>payload_bytes        uint64</w:t>
        <w:br/>
        <w:t>logical_bytes        uint64</w:t>
        <w:br/>
        <w:t>previous_version_of  uint64</w:t>
      </w:r>
    </w:p>
    <w:p>
      <w:r>
        <w:t>The theoretical direction is large memo object IDs, large append offsets, large payload sizes, tombstones, version chains, and future roots for index/free-list/metadata structures.</w:t>
      </w:r>
    </w:p>
    <w:p>
      <w:r>
        <w:t>Current runtime caveat: the DTX backend is text-first, append-mostly, and keeps a live object map in memory after scan/open. The header comments explicitly defer free-space reuse and advanced repair. So x64 memos are architected for large-object sidecar storage, but the current reader manual should not claim mature garbage collection, compaction, free-list reuse, or huge-object operational proof until those paths are tested.</w:t>
      </w:r>
    </w:p>
    <w:p>
      <w:pPr>
        <w:pStyle w:val="Heading3"/>
      </w:pPr>
      <w:r>
        <w:t>Vectored Table Names and Field Names</w:t>
      </w:r>
    </w:p>
    <w:p>
      <w:r>
        <w:t>Classic DBF/VFP descriptors have short compatibility names. In this codebase, descriptor field names remain 10-byte fallback tokens. x64base adds an optional metadata vector so the authoritative names can be longer and cleaner than the fallback descriptor tokens.</w:t>
      </w:r>
    </w:p>
    <w:p>
      <w:r>
        <w:t>This feature exists because the project outgrew MS-DOS-era naming. Classic xBase systems were built around strict table and field-name limits, and the DBF descriptor still carries a short field-name slot for compatibility. Visual FoxPro opened parts of the model up, and DotTalk++ currently uses 128-byte x64 logical table and field names as its default policy. That 128-byte policy is not the theory of the format; it is the current compile-time contract.</w:t>
      </w:r>
    </w:p>
    <w:p>
      <w:r>
        <w:t>SelfDoc and the Master Doc Organizer (MDO) made the need obvious. Documentation, provenance, command identity, source harvesting, and generated catalog tables naturally produce names such as COMMAND_REFERENCE_ASSEMBLY_ALIAS_STATUS or MANUAL_GENERATION_ANCHOR_MAP_ENTRY. Those names should explain themselves to the runtime and to future readers. Truncating them to 10-byte DBF tokens would destroy the meaning the system is trying to preserve.</w:t>
      </w:r>
    </w:p>
    <w:p>
      <w:r>
        <w:t>In include/xbase_64.hpp:</w:t>
      </w:r>
    </w:p>
    <w:p>
      <w:pPr>
        <w:spacing w:before="60" w:after="160"/>
        <w:ind w:left="360"/>
      </w:pPr>
      <w:r>
        <w:rPr>
          <w:rFonts w:ascii="Consolas" w:hAnsi="Consolas"/>
          <w:sz w:val="18"/>
        </w:rPr>
        <w:t>X64_TABLE_NAME_LENGTH = 128</w:t>
        <w:br/>
        <w:t>X64_FIELD_NAME_LENGTH = 128</w:t>
        <w:br/>
        <w:t>X64_TABLE_NAME_LENGTH_MAX = 128</w:t>
        <w:br/>
        <w:t>X64_FIELD_NAME_LENGTH_MAX = 128</w:t>
        <w:br/>
        <w:t>X64_FALLBACK_FIELD_TOKEN_BYTES = 10</w:t>
      </w:r>
    </w:p>
    <w:p>
      <w:r>
        <w:t>Those values are C++ constants. A build can change the x64 vector-name policy by changing the compile-time constants and rebuilding, but that is a storage-contract change, not a cosmetic setting. Any longer-name build must also audit metadata serialization, loaders, command syntax, HELP/META rows, data dictionary tables, import/export, and proof scripts so the system agrees about the new maximum.</w:t>
      </w:r>
    </w:p>
    <w:p>
      <w:r>
        <w:t>The optional metadata block is named X64M. It contains:</w:t>
      </w:r>
    </w:p>
    <w:p>
      <w:pPr>
        <w:pStyle w:val="ListBullet"/>
      </w:pPr>
      <w:r>
        <w:t>table-name offset and length</w:t>
      </w:r>
    </w:p>
    <w:p>
      <w:pPr>
        <w:pStyle w:val="ListBullet"/>
      </w:pPr>
      <w:r>
        <w:t>field-entry offset and count</w:t>
      </w:r>
    </w:p>
    <w:p>
      <w:pPr>
        <w:pStyle w:val="ListBullet"/>
      </w:pPr>
      <w:r>
        <w:t>string-pool offset and length</w:t>
      </w:r>
    </w:p>
    <w:p>
      <w:pPr>
        <w:pStyle w:val="ListBullet"/>
      </w:pPr>
      <w:r>
        <w:t>per-field metadata entries with field index, name offset, name length, flags, and field length</w:t>
      </w:r>
    </w:p>
    <w:p>
      <w:r>
        <w:t>That is what "vectored table names and field names" means in this system: the short DBF/VFP descriptor token remains as compatibility fallback, while the x64 metadata vector carries the authoritative logical table name and field names.</w:t>
      </w:r>
    </w:p>
    <w:p>
      <w:r>
        <w:t>The x64 DBF should therefore be self-describing. When DBF64_FLAG_HAS_META_BLOCK is set, the file carries the name vector needed to resolve its logical table and field names. In the current source, X64M is stored immediately after the descriptor terminator and before record data, with data_start_64 and compatible header size pointing after that metadata. X64MetaLocator is reserved for later locator geometry. That means the current name-vector contract is header-resident metadata, not an external sidecar. Sidecar metadata could become a future extension, but it should be documented separately from the current in-file X64M block and from the DTX memo sidecar.</w:t>
      </w:r>
    </w:p>
    <w:p>
      <w:r>
        <w:t>Example concept:</w:t>
      </w:r>
    </w:p>
    <w:p>
      <w:pPr>
        <w:spacing w:before="60" w:after="160"/>
        <w:ind w:left="360"/>
      </w:pPr>
      <w:r>
        <w:rPr>
          <w:rFonts w:ascii="Consolas" w:hAnsi="Consolas"/>
          <w:sz w:val="18"/>
        </w:rPr>
        <w:t>Descriptor fallback token: CUSTOMER_O</w:t>
        <w:br/>
        <w:t>Vector field name:        CUSTOMER_ORDER_HISTORY_STATUS</w:t>
      </w:r>
    </w:p>
    <w:p>
      <w:r>
        <w:t>The runtime should resolve the vector name when DBF64_FLAG_HAS_META_BLOCK is present and the metadata is valid. If the metadata is missing, invalid, or the name is too long for the current contract, the system falls back to the descriptor token.</w:t>
      </w:r>
    </w:p>
    <w:p>
      <w:r>
        <w:t>Reader rule: the vector name is the authoritative x64 name when present and valid. The 10-byte descriptor token is a compatibility fallback, not the real semantic name.</w:t>
      </w:r>
    </w:p>
    <w:p>
      <w:r>
        <w:t>Developer rule: if the vector-name limit is raised beyond 128, the manual, data dictionary, HELP/META harvest, and proof suite must all be regenerated under the same compiled contract. A DBF created under a longer-name build should carry enough X64M metadata for the runtime to explain the file back to itself.</w:t>
      </w:r>
    </w:p>
    <w:p>
      <w:pPr>
        <w:pStyle w:val="Heading3"/>
      </w:pPr>
      <w:r>
        <w:t>Harvest Rule for Mentioned Concepts</w:t>
      </w:r>
    </w:p>
    <w:p>
      <w:r>
        <w:t>This material should be harvested now because it was explicitly named and because the trinity headers already contain the contracts. It should also be harvested later by the systematic SelfDoc/manualgen path.</w:t>
      </w:r>
    </w:p>
    <w:p>
      <w:r>
        <w:t>Immediate harvest captures the doctrine:</w:t>
      </w:r>
    </w:p>
    <w:p>
      <w:pPr>
        <w:pStyle w:val="ListBullet"/>
      </w:pPr>
      <w:r>
        <w:t>x64base theoretical limits</w:t>
      </w:r>
    </w:p>
    <w:p>
      <w:pPr>
        <w:pStyle w:val="ListBullet"/>
      </w:pPr>
      <w:r>
        <w:t>x64 indexing direction</w:t>
      </w:r>
    </w:p>
    <w:p>
      <w:pPr>
        <w:pStyle w:val="ListBullet"/>
      </w:pPr>
      <w:r>
        <w:t>x64 memo direction</w:t>
      </w:r>
    </w:p>
    <w:p>
      <w:pPr>
        <w:pStyle w:val="ListBullet"/>
      </w:pPr>
      <w:r>
        <w:t>vectored table and field names</w:t>
      </w:r>
    </w:p>
    <w:p>
      <w:pPr>
        <w:pStyle w:val="ListBullet"/>
      </w:pPr>
      <w:r>
        <w:t>compile-time x64 vector-name policy</w:t>
      </w:r>
    </w:p>
    <w:p>
      <w:pPr>
        <w:pStyle w:val="ListBullet"/>
      </w:pPr>
      <w:r>
        <w:t>self-describing x64 name metadata</w:t>
      </w:r>
    </w:p>
    <w:p>
      <w:pPr>
        <w:pStyle w:val="ListBullet"/>
      </w:pPr>
      <w:r>
        <w:t>current runtime caveats</w:t>
      </w:r>
    </w:p>
    <w:p>
      <w:r>
        <w:t>Systematic harvest should later attach source-level and runtime proof:</w:t>
      </w:r>
    </w:p>
    <w:p>
      <w:pPr>
        <w:pStyle w:val="ListBullet"/>
      </w:pPr>
      <w:r>
        <w:t>source extraction from include/xbase_64.hpp, include/xbase.hpp, and include/memo/dtx_format.hpp</w:t>
      </w:r>
    </w:p>
    <w:p>
      <w:pPr>
        <w:pStyle w:val="ListBullet"/>
      </w:pPr>
      <w:r>
        <w:t>proof scripts for 128-byte table/field names</w:t>
      </w:r>
    </w:p>
    <w:p>
      <w:pPr>
        <w:pStyle w:val="ListBullet"/>
      </w:pPr>
      <w:r>
        <w:t>proof scripts for a deliberately longer compile-time vector-name build if the constants are changed</w:t>
      </w:r>
    </w:p>
    <w:p>
      <w:pPr>
        <w:pStyle w:val="ListBullet"/>
      </w:pPr>
      <w:r>
        <w:t>proof scripts proving that a vectored DBF can explain its logical names from X64M</w:t>
      </w:r>
    </w:p>
    <w:p>
      <w:pPr>
        <w:pStyle w:val="ListBullet"/>
      </w:pPr>
      <w:r>
        <w:t>proof scripts for x64 memo object IDs</w:t>
      </w:r>
    </w:p>
    <w:p>
      <w:pPr>
        <w:pStyle w:val="ListBullet"/>
      </w:pPr>
      <w:r>
        <w:t>proof scripts for larger CDX/LMDB index scale</w:t>
      </w:r>
    </w:p>
    <w:p>
      <w:pPr>
        <w:pStyle w:val="ListBullet"/>
      </w:pPr>
      <w:r>
        <w:t>reader-safe language once those paths are proven</w:t>
      </w:r>
    </w:p>
    <w:p>
      <w:pPr>
        <w:pStyle w:val="Heading2"/>
      </w:pPr>
      <w:r>
        <w:t>8. Creating DBFs</w:t>
      </w:r>
    </w:p>
    <w:p>
      <w:r>
        <w:t>There are two main creation paths:</w:t>
      </w:r>
    </w:p>
    <w:p>
      <w:pPr>
        <w:pStyle w:val="ListBullet"/>
      </w:pPr>
      <w:r>
        <w:t>Direct x64 creation with CREATE X64.</w:t>
      </w:r>
    </w:p>
    <w:p>
      <w:pPr>
        <w:pStyle w:val="ListBullet"/>
      </w:pPr>
      <w:r>
        <w:t>Schema-driven creation with DDL CREATE DBF.</w:t>
      </w:r>
    </w:p>
    <w:p>
      <w:r>
        <w:t>Use direct creation when the table is small, local, and part of a runtime proof. Use schema-driven creation when the table contract must be explicit, reusable, or connected to data dictionary work.</w:t>
      </w:r>
    </w:p>
    <w:p>
      <w:r>
        <w:t>Schema-driven pattern:</w:t>
      </w:r>
    </w:p>
    <w:p>
      <w:pPr>
        <w:spacing w:before="60" w:after="160"/>
        <w:ind w:left="360"/>
      </w:pPr>
      <w:r>
        <w:rPr>
          <w:rFonts w:ascii="Consolas" w:hAnsi="Consolas"/>
          <w:sz w:val="18"/>
        </w:rPr>
        <w:t>DDL CREATE DBF &lt;out.dbf&gt; FROM &lt;schema.json&gt;</w:t>
        <w:br/>
        <w:t>DDL CREATE DBF &lt;out.dbf&gt; FROM &lt;schema.json&gt; OVERWRITE</w:t>
        <w:br/>
        <w:t>DDL CREATE DBF &lt;out.dbf&gt; FROM &lt;schema.json&gt; SEED BLANK &lt;n&gt;</w:t>
        <w:br/>
        <w:t>DDL CREATE DBF &lt;out.dbf&gt; FROM &lt;schema.json&gt; EMIT SIDECARS</w:t>
      </w:r>
    </w:p>
    <w:p>
      <w:r>
        <w:t>Path rules:</w:t>
      </w:r>
    </w:p>
    <w:p>
      <w:pPr>
        <w:pStyle w:val="ListBullet"/>
      </w:pPr>
      <w:r>
        <w:t>Relative schema inputs resolve under the SCHEMAS path first, then the current working directory.</w:t>
      </w:r>
    </w:p>
    <w:p>
      <w:pPr>
        <w:pStyle w:val="ListBullet"/>
      </w:pPr>
      <w:r>
        <w:t>Relative DBF outputs resolve under the TMP path by default.</w:t>
      </w:r>
    </w:p>
    <w:p>
      <w:pPr>
        <w:pStyle w:val="ListBullet"/>
      </w:pPr>
      <w:r>
        <w:t>Existing DBF output is refused unless OVERWRITE is supplied.</w:t>
      </w:r>
    </w:p>
    <w:p>
      <w:pPr>
        <w:pStyle w:val="ListBullet"/>
      </w:pPr>
      <w:r>
        <w:t>SEED CSV is recognized in the command surface but is not implemented in the current drop-in.</w:t>
      </w:r>
    </w:p>
    <w:p>
      <w:pPr>
        <w:pStyle w:val="ListBullet"/>
      </w:pPr>
      <w:r>
        <w:t>EMIT SIDECARS writes companion schema/load/index metadata files.</w:t>
      </w:r>
    </w:p>
    <w:p>
      <w:r>
        <w:t>Minimal schema shape:</w:t>
      </w:r>
    </w:p>
    <w:p>
      <w:pPr>
        <w:spacing w:before="60" w:after="160"/>
        <w:ind w:left="360"/>
      </w:pPr>
      <w:r>
        <w:rPr>
          <w:rFonts w:ascii="Consolas" w:hAnsi="Consolas"/>
          <w:sz w:val="18"/>
        </w:rPr>
        <w:t>{</w:t>
        <w:br/>
        <w:t xml:space="preserve">  "version": "1.0",</w:t>
        <w:br/>
        <w:t xml:space="preserve">  "name": "students",</w:t>
        <w:br/>
        <w:t xml:space="preserve">  "encoding": "UTF-8",</w:t>
        <w:br/>
        <w:t xml:space="preserve">  "date_policy": "ISO",</w:t>
        <w:br/>
        <w:t xml:space="preserve">  "null_policy": "EMPTY_AS_EMPTY",</w:t>
        <w:br/>
        <w:t xml:space="preserve">  "logical_policy": "TF",</w:t>
        <w:br/>
        <w:t xml:space="preserve">  "fields": [</w:t>
        <w:br/>
        <w:t xml:space="preserve">    { "name": "SID", "type": "N", "length": 9, "decimals": 0, "required": true },</w:t>
        <w:br/>
        <w:t xml:space="preserve">    { "name": "LNAME", "type": "C", "length": 20, "required": true, "trim": "right" },</w:t>
        <w:br/>
        <w:t xml:space="preserve">    { "name": "FNAME", "type": "C", "length": 15, "required": true, "trim": "right" },</w:t>
        <w:br/>
        <w:t xml:space="preserve">    { "name": "DOB", "type": "D", "length": 8, "zero_date": "ALLOW" },</w:t>
        <w:br/>
        <w:t xml:space="preserve">    { "name": "ACTIVE", "type": "L" }</w:t>
        <w:br/>
        <w:t xml:space="preserve">  ],</w:t>
        <w:br/>
        <w:t xml:space="preserve">  "indexes": [</w:t>
        <w:br/>
        <w:t xml:space="preserve">    { "name": "SID_PK", "engine": "CNX", "order": ["SID ASC"], "unique": true, "nullable": "DISALLOW" },</w:t>
        <w:br/>
        <w:t xml:space="preserve">    { "name": "NAME1", "engine": "CNX", "order": ["LNAME ASC", "FNAME ASC"], "collation": "nocase", "trim": "right" }</w:t>
        <w:br/>
        <w:t xml:space="preserve">  ]</w:t>
        <w:br/>
        <w:t>}</w:t>
      </w:r>
    </w:p>
    <w:p>
      <w:r>
        <w:t>The active schema contract is src\cli\schema_json_v1.schema.json. The DDL CREATE DBF schema path supports field types C, N, D, L, and M. Do not assume every direct CREATE type is valid in the JSON schema path.</w:t>
      </w:r>
    </w:p>
    <w:p>
      <w:r>
        <w:t>Verification status: transcript-proven with docs/manuals/developer/proofs/reader_manual_schema_ddl_v2.transcript.txt.</w:t>
      </w:r>
    </w:p>
    <w:p>
      <w:r>
        <w:t>Observed DDL proof:</w:t>
      </w:r>
    </w:p>
    <w:p>
      <w:pPr>
        <w:pStyle w:val="ListBullet"/>
      </w:pPr>
      <w:r>
        <w:t>DDL CREATE DBF RM_SCHEMA_V2.dbf FROM docs\manuals\developer\proofs\reader_manual_schema_v1.json OVERWRITE SEED BLANK 2 EMIT SIDECARS succeeded.</w:t>
      </w:r>
    </w:p>
    <w:p>
      <w:pPr>
        <w:pStyle w:val="ListBullet"/>
      </w:pPr>
      <w:r>
        <w:t>The relative DBF output resolved to D:\code\ccode\build\src\Release\tmp\RM_SCHEMA_V2.dbf.</w:t>
      </w:r>
    </w:p>
    <w:p>
      <w:pPr>
        <w:pStyle w:val="ListBullet"/>
      </w:pPr>
      <w:r>
        <w:t>Opening the TMP output path succeeded.</w:t>
      </w:r>
    </w:p>
    <w:p>
      <w:pPr>
        <w:pStyle w:val="ListBullet"/>
      </w:pPr>
      <w:r>
        <w:t>STRUCT showed the five schema fields.</w:t>
      </w:r>
    </w:p>
    <w:p>
      <w:pPr>
        <w:pStyle w:val="ListBullet"/>
      </w:pPr>
      <w:r>
        <w:t>LIST showed two seeded blank rows.</w:t>
      </w:r>
    </w:p>
    <w:p>
      <w:pPr>
        <w:pStyle w:val="ListBullet"/>
      </w:pPr>
      <w:r>
        <w:t>STATUS reported DBF flavor v32 for the schema-created table.</w:t>
      </w:r>
    </w:p>
    <w:p>
      <w:r>
        <w:t>Reader rule: after schema-driven creation, open the actual output path reported by DDL. A relative output name goes to the runtime TMP path, not the runtime DBF path.</w:t>
      </w:r>
    </w:p>
    <w:p>
      <w:pPr>
        <w:pStyle w:val="Heading2"/>
      </w:pPr>
      <w:r>
        <w:t>9. Schema Rules</w:t>
      </w:r>
    </w:p>
    <w:p>
      <w:pPr>
        <w:jc w:val="center"/>
      </w:pPr>
      <w:r>
        <w:drawing>
          <wp:inline xmlns:a="http://schemas.openxmlformats.org/drawingml/2006/main" xmlns:pic="http://schemas.openxmlformats.org/drawingml/2006/picture">
            <wp:extent cx="5760720" cy="3374136"/>
            <wp:docPr id="5" name="Picture 5"/>
            <wp:cNvGraphicFramePr>
              <a:graphicFrameLocks noChangeAspect="1"/>
            </wp:cNvGraphicFramePr>
            <a:graphic>
              <a:graphicData uri="http://schemas.openxmlformats.org/drawingml/2006/picture">
                <pic:pic>
                  <pic:nvPicPr>
                    <pic:cNvPr id="0" name="diag-x64-self-describing.png"/>
                    <pic:cNvPicPr/>
                  </pic:nvPicPr>
                  <pic:blipFill>
                    <a:blip r:embed="rId11"/>
                    <a:stretch>
                      <a:fillRect/>
                    </a:stretch>
                  </pic:blipFill>
                  <pic:spPr>
                    <a:xfrm>
                      <a:off x="0" y="0"/>
                      <a:ext cx="5760720" cy="3374136"/>
                    </a:xfrm>
                    <a:prstGeom prst="rect"/>
                  </pic:spPr>
                </pic:pic>
              </a:graphicData>
            </a:graphic>
          </wp:inline>
        </w:drawing>
      </w:r>
    </w:p>
    <w:p>
      <w:pPr>
        <w:pStyle w:val="Caption"/>
        <w:jc w:val="center"/>
      </w:pPr>
      <w:r>
        <w:t>Figure 5. In-file X64M self-description. (DIAG-X64-SELF-DESCRIBING, ANCHOR-X64-VECTOR-NAMES).</w:t>
      </w:r>
    </w:p>
    <w:p>
      <w:r>
        <w:t>Classify a schema before using it:</w:t>
      </w:r>
    </w:p>
    <w:p>
      <w:r>
        <w:rPr>
          <w:rFonts w:ascii="Consolas" w:hAnsi="Consolas"/>
          <w:sz w:val="16"/>
        </w:rPr>
        <w:t>| Schema kind | Meaning | Handling |</w:t>
      </w:r>
    </w:p>
    <w:p>
      <w:r>
        <w:rPr>
          <w:rFonts w:ascii="Consolas" w:hAnsi="Consolas"/>
          <w:sz w:val="16"/>
        </w:rPr>
        <w:t>|---|---|---|</w:t>
      </w:r>
    </w:p>
    <w:p>
      <w:r>
        <w:rPr>
          <w:rFonts w:ascii="Consolas" w:hAnsi="Consolas"/>
          <w:sz w:val="16"/>
        </w:rPr>
        <w:t>| schema.json | Table field/index/relation contract for DDL/import work. | Candidate until runtime-created and read back. |</w:t>
      </w:r>
    </w:p>
    <w:p>
      <w:r>
        <w:rPr>
          <w:rFonts w:ascii="Consolas" w:hAnsi="Consolas"/>
          <w:sz w:val="16"/>
        </w:rPr>
        <w:t>| .dtschema / .dtschemas | x64base workspace/session schema for areas and optional relations. | Do not confuse with SQL schemas. |</w:t>
      </w:r>
    </w:p>
    <w:p>
      <w:r>
        <w:rPr>
          <w:rFonts w:ascii="Consolas" w:hAnsi="Consolas"/>
          <w:sz w:val="16"/>
        </w:rPr>
        <w:t>| JSON Schema | Validator/specification for another artifact. | Use for structural validation, not runtime proof by itself. |</w:t>
      </w:r>
    </w:p>
    <w:p>
      <w:r>
        <w:rPr>
          <w:rFonts w:ascii="Consolas" w:hAnsi="Consolas"/>
          <w:sz w:val="16"/>
        </w:rPr>
        <w:t>| Data dictionary package schema | Contract for generated reports/import candidates. | Keep package-local until promoted. |</w:t>
      </w:r>
    </w:p>
    <w:p>
      <w:r>
        <w:t>Rules for schema work:</w:t>
      </w:r>
    </w:p>
    <w:p>
      <w:pPr>
        <w:pStyle w:val="ListBullet"/>
      </w:pPr>
      <w:r>
        <w:t>Keep candidate schemas separate from active schemas.</w:t>
      </w:r>
    </w:p>
    <w:p>
      <w:pPr>
        <w:pStyle w:val="ListBullet"/>
      </w:pPr>
      <w:r>
        <w:t>Never overwrite active schemas without an explicit promotion package.</w:t>
      </w:r>
    </w:p>
    <w:p>
      <w:pPr>
        <w:pStyle w:val="ListBullet"/>
      </w:pPr>
      <w:r>
        <w:t>If a schema has indexes, also define how those indexes are created or activated at runtime.</w:t>
      </w:r>
    </w:p>
    <w:p>
      <w:pPr>
        <w:pStyle w:val="ListBullet"/>
      </w:pPr>
      <w:r>
        <w:t>If a schema has relations, capture workspace/relation proof separately from table creation proof.</w:t>
      </w:r>
    </w:p>
    <w:p>
      <w:pPr>
        <w:pStyle w:val="ListBullet"/>
      </w:pPr>
      <w:r>
        <w:t>A schema that parses is not proven.</w:t>
      </w:r>
    </w:p>
    <w:p>
      <w:pPr>
        <w:pStyle w:val="ListBullet"/>
      </w:pPr>
      <w:r>
        <w:t>A schema is proven only after runtime creation, open, structure readback, and at least one navigation/readback command.</w:t>
      </w:r>
    </w:p>
    <w:p>
      <w:pPr>
        <w:pStyle w:val="ListBullet"/>
      </w:pPr>
      <w:r>
        <w:t>For DBF work, prove with STRUCT and at least one data readback command.</w:t>
      </w:r>
    </w:p>
    <w:p>
      <w:pPr>
        <w:pStyle w:val="ListBullet"/>
      </w:pPr>
      <w:r>
        <w:t>For index work, prove physical order versus logical order.</w:t>
      </w:r>
    </w:p>
    <w:p>
      <w:pPr>
        <w:pStyle w:val="Heading2"/>
      </w:pPr>
      <w:r>
        <w:t>10. Indexes, CNX, CDX, and SET ORDER</w:t>
      </w:r>
    </w:p>
    <w:p>
      <w:pPr>
        <w:jc w:val="center"/>
      </w:pPr>
      <w:r>
        <w:drawing>
          <wp:inline xmlns:a="http://schemas.openxmlformats.org/drawingml/2006/main" xmlns:pic="http://schemas.openxmlformats.org/drawingml/2006/picture">
            <wp:extent cx="5760720" cy="3374136"/>
            <wp:docPr id="6" name="Picture 6"/>
            <wp:cNvGraphicFramePr>
              <a:graphicFrameLocks noChangeAspect="1"/>
            </wp:cNvGraphicFramePr>
            <a:graphic>
              <a:graphicData uri="http://schemas.openxmlformats.org/drawingml/2006/picture">
                <pic:pic>
                  <pic:nvPicPr>
                    <pic:cNvPr id="0" name="diag-index-order.png"/>
                    <pic:cNvPicPr/>
                  </pic:nvPicPr>
                  <pic:blipFill>
                    <a:blip r:embed="rId13"/>
                    <a:stretch>
                      <a:fillRect/>
                    </a:stretch>
                  </pic:blipFill>
                  <pic:spPr>
                    <a:xfrm>
                      <a:off x="0" y="0"/>
                      <a:ext cx="5760720" cy="3374136"/>
                    </a:xfrm>
                    <a:prstGeom prst="rect"/>
                  </pic:spPr>
                </pic:pic>
              </a:graphicData>
            </a:graphic>
          </wp:inline>
        </w:drawing>
      </w:r>
    </w:p>
    <w:p>
      <w:pPr>
        <w:pStyle w:val="Caption"/>
        <w:jc w:val="center"/>
      </w:pPr>
      <w:r>
        <w:t>Figure 6. Logical order versus backend storage. (DIAG-INDEX-ORDER, ANCHOR-X64-INDEXING).</w:t>
      </w:r>
    </w:p>
    <w:p>
      <w:r>
        <w:t>The direct index command builds an INX file from the current open table.</w:t>
      </w:r>
    </w:p>
    <w:p>
      <w:r>
        <w:t>Pattern:</w:t>
      </w:r>
    </w:p>
    <w:p>
      <w:pPr>
        <w:spacing w:before="60" w:after="160"/>
        <w:ind w:left="360"/>
      </w:pPr>
      <w:r>
        <w:rPr>
          <w:rFonts w:ascii="Consolas" w:hAnsi="Consolas"/>
          <w:sz w:val="18"/>
        </w:rPr>
        <w:t>USE &lt;table&gt;</w:t>
        <w:br/>
        <w:t>INDEX ON &lt;field&gt; TAG &lt;name&gt;</w:t>
        <w:br/>
        <w:t>INDEX ON &lt;field&gt; TAG &lt;name&gt; DESC</w:t>
        <w:br/>
        <w:t>INDEX ON &lt;field&gt; TAG &lt;name&gt; ASC 2INX</w:t>
        <w:br/>
        <w:t>SET INDEX TO &lt;name&gt;.inx</w:t>
      </w:r>
    </w:p>
    <w:p>
      <w:r>
        <w:t>Important rules:</w:t>
      </w:r>
    </w:p>
    <w:p>
      <w:pPr>
        <w:pStyle w:val="ListBullet"/>
      </w:pPr>
      <w:r>
        <w:t>INDEX requires an open table.</w:t>
      </w:r>
    </w:p>
    <w:p>
      <w:pPr>
        <w:pStyle w:val="ListBullet"/>
      </w:pPr>
      <w:r>
        <w:t>It reads records and writes an index file.</w:t>
      </w:r>
    </w:p>
    <w:p>
      <w:pPr>
        <w:pStyle w:val="ListBullet"/>
      </w:pPr>
      <w:r>
        <w:t>It does not mutate table records.</w:t>
      </w:r>
    </w:p>
    <w:p>
      <w:pPr>
        <w:pStyle w:val="ListBullet"/>
      </w:pPr>
      <w:r>
        <w:t>Deleted records are excluded.</w:t>
      </w:r>
    </w:p>
    <w:p>
      <w:pPr>
        <w:pStyle w:val="ListBullet"/>
      </w:pPr>
      <w:r>
        <w:t>Default direction is ASC.</w:t>
      </w:r>
    </w:p>
    <w:p>
      <w:pPr>
        <w:pStyle w:val="ListBullet"/>
      </w:pPr>
      <w:r>
        <w:t>Default output format is 2INX.</w:t>
      </w:r>
    </w:p>
    <w:p>
      <w:pPr>
        <w:pStyle w:val="ListBullet"/>
      </w:pPr>
      <w:r>
        <w:t>TAG names an INX file target.</w:t>
      </w:r>
    </w:p>
    <w:p>
      <w:pPr>
        <w:pStyle w:val="ListBullet"/>
      </w:pPr>
      <w:r>
        <w:t>Non-.inx extensions are refused.</w:t>
      </w:r>
    </w:p>
    <w:p>
      <w:pPr>
        <w:pStyle w:val="ListBullet"/>
      </w:pPr>
      <w:r>
        <w:t>Field-number tokens are accepted by the parser, but field names are clearer in docs and proof.</w:t>
      </w:r>
    </w:p>
    <w:p>
      <w:r>
        <w:t>Index examples should prove both the underlying record data and the indexed navigation order.</w:t>
      </w:r>
    </w:p>
    <w:p>
      <w:pPr>
        <w:pStyle w:val="Heading3"/>
      </w:pPr>
      <w:r>
        <w:t>CNX, CDX, and LMDB Boundary</w:t>
      </w:r>
    </w:p>
    <w:p>
      <w:r>
        <w:t>Keep the index terms distinct:</w:t>
      </w:r>
    </w:p>
    <w:p>
      <w:r>
        <w:rPr>
          <w:rFonts w:ascii="Consolas" w:hAnsi="Consolas"/>
          <w:sz w:val="16"/>
        </w:rPr>
        <w:t>| Concept | Reader meaning |</w:t>
      </w:r>
    </w:p>
    <w:p>
      <w:r>
        <w:rPr>
          <w:rFonts w:ascii="Consolas" w:hAnsi="Consolas"/>
          <w:sz w:val="16"/>
        </w:rPr>
        <w:t>|---|---|</w:t>
      </w:r>
    </w:p>
    <w:p>
      <w:r>
        <w:rPr>
          <w:rFonts w:ascii="Consolas" w:hAnsi="Consolas"/>
          <w:sz w:val="16"/>
        </w:rPr>
        <w:t>| INX | Direct single index file path created by INDEX ON ... TAG ..., currently the simplest reader-facing index example. |</w:t>
      </w:r>
    </w:p>
    <w:p>
      <w:r>
        <w:rPr>
          <w:rFonts w:ascii="Consolas" w:hAnsi="Consolas"/>
          <w:sz w:val="16"/>
        </w:rPr>
        <w:t>| CNX | DotTalk++ container concept for named tags and order metadata. Current tools include CNX CREATE, CNX INFO, CNX TAGS, CNX ADDTAG, CNX DROPTAG, CNX WALK, and CNX TRACE. |</w:t>
      </w:r>
    </w:p>
    <w:p>
      <w:r>
        <w:rPr>
          <w:rFonts w:ascii="Consolas" w:hAnsi="Consolas"/>
          <w:sz w:val="16"/>
        </w:rPr>
        <w:t>| CDX | User-facing logical multi-tag index container concept. Current tools include CDX CREATE, CDX INFO, CDX TAGS, CDX ADDTAG, and CDX DROPTAG. |</w:t>
      </w:r>
    </w:p>
    <w:p>
      <w:r>
        <w:rPr>
          <w:rFonts w:ascii="Consolas" w:hAnsi="Consolas"/>
          <w:sz w:val="16"/>
        </w:rPr>
        <w:t>| LMDB | Physical backend/index environment detail in some CDX paths. Do not expose it as the ordinary user concept unless the section is explicitly backend-facing. |</w:t>
      </w:r>
    </w:p>
    <w:p>
      <w:r>
        <w:t>The reader model is:</w:t>
      </w:r>
    </w:p>
    <w:p>
      <w:pPr>
        <w:spacing w:before="60" w:after="160"/>
        <w:ind w:left="360"/>
      </w:pPr>
      <w:r>
        <w:rPr>
          <w:rFonts w:ascii="Consolas" w:hAnsi="Consolas"/>
          <w:sz w:val="18"/>
        </w:rPr>
        <w:t>DBF/XDBF stores records.</w:t>
        <w:br/>
        <w:t>CNX/CDX/INX describe or provide logical order.</w:t>
        <w:br/>
        <w:t>SET INDEX attaches the container.</w:t>
        <w:br/>
        <w:t>SET ORDER selects the active traversal order or tag.</w:t>
        <w:br/>
        <w:t>LMDB may back a CDX path, but it is not the ordinary teaching abstraction.</w:t>
      </w:r>
    </w:p>
    <w:p>
      <w:pPr>
        <w:pStyle w:val="Heading3"/>
      </w:pPr>
      <w:r>
        <w:t>SET INDEX Versus SET ORDER</w:t>
      </w:r>
    </w:p>
    <w:p>
      <w:r>
        <w:t>Use SET INDEX TO &lt;container&gt; to attach an index container. Use SET ORDER to choose the active logical traversal order.</w:t>
      </w:r>
    </w:p>
    <w:p>
      <w:r>
        <w:t>Patterns:</w:t>
      </w:r>
    </w:p>
    <w:p>
      <w:pPr>
        <w:spacing w:before="60" w:after="160"/>
        <w:ind w:left="360"/>
      </w:pPr>
      <w:r>
        <w:rPr>
          <w:rFonts w:ascii="Consolas" w:hAnsi="Consolas"/>
          <w:sz w:val="18"/>
        </w:rPr>
        <w:t>SET INDEX TO students.cdx</w:t>
        <w:br/>
        <w:t>SET ORDER TO TAG LNAME</w:t>
        <w:br/>
        <w:t>SET ORDER TO 0</w:t>
        <w:br/>
        <w:t>SET ORDER PHYSICAL</w:t>
      </w:r>
    </w:p>
    <w:p>
      <w:r>
        <w:t>Key distinction:</w:t>
      </w:r>
    </w:p>
    <w:p>
      <w:pPr>
        <w:spacing w:before="60" w:after="160"/>
        <w:ind w:left="360"/>
      </w:pPr>
      <w:r>
        <w:rPr>
          <w:rFonts w:ascii="Consolas" w:hAnsi="Consolas"/>
          <w:sz w:val="18"/>
        </w:rPr>
        <w:t>INDEX creates an INX file from the current open table.</w:t>
        <w:br/>
        <w:t>SET INDEX names or attaches the index container.</w:t>
        <w:br/>
        <w:t>SET ORDER chooses the active logical traversal order.</w:t>
      </w:r>
    </w:p>
    <w:p>
      <w:r>
        <w:t>Do not claim an index works until runtime output proves the order changed or a seek uses the expected access path. The important lesson is physical order versus logical order:</w:t>
      </w:r>
    </w:p>
    <w:p>
      <w:pPr>
        <w:spacing w:before="60" w:after="160"/>
        <w:ind w:left="360"/>
      </w:pPr>
      <w:r>
        <w:rPr>
          <w:rFonts w:ascii="Consolas" w:hAnsi="Consolas"/>
          <w:sz w:val="18"/>
        </w:rPr>
        <w:t>physical record order</w:t>
        <w:br/>
        <w:t>logical order</w:t>
        <w:br/>
        <w:t>active tag/order</w:t>
        <w:br/>
        <w:t>current cursor</w:t>
        <w:br/>
        <w:t>filtered or predicate view</w:t>
        <w:br/>
        <w:t>projected tuple output</w:t>
        <w:br/>
        <w:t>persisted table state</w:t>
        <w:br/>
        <w:t>buffered or dirty state</w:t>
      </w:r>
    </w:p>
    <w:p>
      <w:pPr>
        <w:pStyle w:val="Heading3"/>
      </w:pPr>
      <w:r>
        <w:t>Proven CDX Order Workflow</w:t>
      </w:r>
    </w:p>
    <w:p>
      <w:r>
        <w:t>For v64 tables, the current proven order path is CDX plus LMDB backing store.</w:t>
      </w:r>
    </w:p>
    <w:p>
      <w:r>
        <w:t>Transcript: docs/manuals/developer/proofs/reader_manual_order_cdx_v2.transcript.txt</w:t>
      </w:r>
    </w:p>
    <w:p>
      <w:r>
        <w:t>Proof script: docs/manuals/developer/proofs/reader_manual_order_cdx_v2.dts</w:t>
      </w:r>
    </w:p>
    <w:p>
      <w:r>
        <w:t>Pattern:</w:t>
      </w:r>
    </w:p>
    <w:p>
      <w:pPr>
        <w:spacing w:before="60" w:after="160"/>
        <w:ind w:left="360"/>
      </w:pPr>
      <w:r>
        <w:rPr>
          <w:rFonts w:ascii="Consolas" w:hAnsi="Consolas"/>
          <w:sz w:val="18"/>
        </w:rPr>
        <w:t>CREATE X64 RM_ORDER_V2 (SID N(6,0), LNAME C(20), FNAME C(15), GPA N(4,2))</w:t>
        <w:br/>
        <w:t>APPEND</w:t>
        <w:br/>
        <w:t>REPLACE LNAME WITH "ZEKE"</w:t>
        <w:br/>
        <w:t>APPEND</w:t>
        <w:br/>
        <w:t>REPLACE LNAME WITH "ADAMS"</w:t>
        <w:br/>
        <w:t>APPEND</w:t>
        <w:br/>
        <w:t>REPLACE LNAME WITH "MARTIN"</w:t>
        <w:br/>
        <w:t>GO TOP</w:t>
        <w:br/>
        <w:t>LIST</w:t>
        <w:br/>
        <w:t>CDX CREATE</w:t>
        <w:br/>
        <w:t>CDX ADDTAG LNAME</w:t>
        <w:br/>
        <w:t>CDX TAGS</w:t>
        <w:br/>
        <w:t>BUILDLMDB YES</w:t>
        <w:br/>
        <w:t>SET INDEX TO RM_ORDER_V2.cdx</w:t>
        <w:br/>
        <w:t>SET ORDER TO TAG LNAME</w:t>
        <w:br/>
        <w:t>GO TOP</w:t>
        <w:br/>
        <w:t>LIST</w:t>
        <w:br/>
        <w:t>SEEK "MARTIN"</w:t>
        <w:br/>
        <w:t>RECNO</w:t>
        <w:br/>
        <w:t>DISPLAY</w:t>
        <w:br/>
        <w:t>SET ORDER TO 0</w:t>
        <w:br/>
        <w:t>GO TOP</w:t>
        <w:br/>
        <w:t>LIST</w:t>
      </w:r>
    </w:p>
    <w:p>
      <w:r>
        <w:t>Observed proof:</w:t>
      </w:r>
    </w:p>
    <w:p>
      <w:pPr>
        <w:pStyle w:val="ListBullet"/>
      </w:pPr>
      <w:r>
        <w:t>Physical order listed ZEKE, ADAMS, MARTIN.</w:t>
      </w:r>
    </w:p>
    <w:p>
      <w:pPr>
        <w:pStyle w:val="ListBullet"/>
      </w:pPr>
      <w:r>
        <w:t>CDX CREATE created RM_ORDER_V2.cdx under the runtime indexes path.</w:t>
      </w:r>
    </w:p>
    <w:p>
      <w:pPr>
        <w:pStyle w:val="ListBullet"/>
      </w:pPr>
      <w:r>
        <w:t>CDX ADDTAG LNAME added the LNAME tag.</w:t>
      </w:r>
    </w:p>
    <w:p>
      <w:pPr>
        <w:pStyle w:val="ListBullet"/>
      </w:pPr>
      <w:r>
        <w:t>BUILDLMDB YES rebuilt the LMDB backing store and reported done OK=1 tags rebuilt.</w:t>
      </w:r>
    </w:p>
    <w:p>
      <w:pPr>
        <w:pStyle w:val="ListBullet"/>
      </w:pPr>
      <w:r>
        <w:t>SET INDEX TO RM_ORDER_V2.cdx attached the CDX container.</w:t>
      </w:r>
    </w:p>
    <w:p>
      <w:pPr>
        <w:pStyle w:val="ListBullet"/>
      </w:pPr>
      <w:r>
        <w:t>SET ORDER TO TAG LNAME selected the LNAME tag.</w:t>
      </w:r>
    </w:p>
    <w:p>
      <w:pPr>
        <w:pStyle w:val="ListBullet"/>
      </w:pPr>
      <w:r>
        <w:t>Ordered LIST returned ADAMS, MARTIN, ZEKE.</w:t>
      </w:r>
    </w:p>
    <w:p>
      <w:pPr>
        <w:pStyle w:val="ListBullet"/>
      </w:pPr>
      <w:r>
        <w:t>SEEK "MARTIN" found the record at physical recno 3.</w:t>
      </w:r>
    </w:p>
    <w:p>
      <w:pPr>
        <w:pStyle w:val="ListBullet"/>
      </w:pPr>
      <w:r>
        <w:t>SET ORDER TO 0 returned traversal to physical order.</w:t>
      </w:r>
    </w:p>
    <w:p>
      <w:r>
        <w:t>Current caveat: the v1 proof showed that a v64 table refuses direct INX attachment with SET INDEX: v64 tables require CDX (LMDB-backed). Keep INX examples for legacy/v32 or explicitly marked index-file examples until v64 INX behavior is separately proven.</w:t>
      </w:r>
    </w:p>
    <w:p>
      <w:pPr>
        <w:pStyle w:val="Heading3"/>
      </w:pPr>
      <w:r>
        <w:t>Proven CNX Order Workflow</w:t>
      </w:r>
    </w:p>
    <w:p>
      <w:r>
        <w:t>For v32/schema-created tables, the current proven order path is CNX plus REBUILD.</w:t>
      </w:r>
    </w:p>
    <w:p>
      <w:r>
        <w:t>Transcript: docs/manuals/developer/proofs/reader_manual_order_cnx_v1.transcript.txt</w:t>
      </w:r>
    </w:p>
    <w:p>
      <w:r>
        <w:t>Proof script: docs/manuals/developer/proofs/reader_manual_order_cnx_v1.dts</w:t>
      </w:r>
    </w:p>
    <w:p>
      <w:r>
        <w:t>Pattern:</w:t>
      </w:r>
    </w:p>
    <w:p>
      <w:pPr>
        <w:spacing w:before="60" w:after="160"/>
        <w:ind w:left="360"/>
      </w:pPr>
      <w:r>
        <w:rPr>
          <w:rFonts w:ascii="Consolas" w:hAnsi="Consolas"/>
          <w:sz w:val="18"/>
        </w:rPr>
        <w:t>DDL CREATE DBF RM_CNX_V1.dbf FROM docs\manuals\developer\proofs\reader_manual_schema_v1.json OVERWRITE EMIT SIDECARS</w:t>
        <w:br/>
        <w:t>USE D:\code\ccode\build\src\Release\tmp\RM_CNX_V1.dbf</w:t>
        <w:br/>
        <w:t>IMPORT docs\manuals\developer\proofs\reader_manual_nav_export_v1.csv</w:t>
        <w:br/>
        <w:t>GO TOP</w:t>
        <w:br/>
        <w:t>LIST</w:t>
        <w:br/>
        <w:t>CNX CREATE</w:t>
        <w:br/>
        <w:t>CNX ADDTAG LNAME</w:t>
        <w:br/>
        <w:t>CNX TAGS</w:t>
        <w:br/>
        <w:t>REBUILD RM_CNX_V1.cnx</w:t>
        <w:br/>
        <w:t>SET INDEX TO RM_CNX_V1.cnx</w:t>
        <w:br/>
        <w:t>SET ORDER TO TAG LNAME</w:t>
        <w:br/>
        <w:t>GO TOP</w:t>
        <w:br/>
        <w:t>LIST</w:t>
        <w:br/>
        <w:t>SEEK "CLARK"</w:t>
        <w:br/>
        <w:t>RECNO</w:t>
        <w:br/>
        <w:t>DISPLAY</w:t>
        <w:br/>
        <w:t>SET ORDER TO 0</w:t>
        <w:br/>
        <w:t>GO TOP</w:t>
        <w:br/>
        <w:t>LIST</w:t>
      </w:r>
    </w:p>
    <w:p>
      <w:r>
        <w:t>Observed proof:</w:t>
      </w:r>
    </w:p>
    <w:p>
      <w:pPr>
        <w:pStyle w:val="ListBullet"/>
      </w:pPr>
      <w:r>
        <w:t>DDL CREATE DBF created a v32 table in the runtime TMP path.</w:t>
      </w:r>
    </w:p>
    <w:p>
      <w:pPr>
        <w:pStyle w:val="ListBullet"/>
      </w:pPr>
      <w:r>
        <w:t>IMPORT loaded three records.</w:t>
      </w:r>
    </w:p>
    <w:p>
      <w:pPr>
        <w:pStyle w:val="ListBullet"/>
      </w:pPr>
      <w:r>
        <w:t>CNX CREATE created RM_CNX_V1.cnx under the runtime indexes path.</w:t>
      </w:r>
    </w:p>
    <w:p>
      <w:pPr>
        <w:pStyle w:val="ListBullet"/>
      </w:pPr>
      <w:r>
        <w:t>CNX ADDTAG LNAME added the LNAME tag.</w:t>
      </w:r>
    </w:p>
    <w:p>
      <w:pPr>
        <w:pStyle w:val="ListBullet"/>
      </w:pPr>
      <w:r>
        <w:t>REBUILD RM_CNX_V1.cnx rebuilt the CNX container and reported OK=1.</w:t>
      </w:r>
    </w:p>
    <w:p>
      <w:pPr>
        <w:pStyle w:val="ListBullet"/>
      </w:pPr>
      <w:r>
        <w:t>SET INDEX TO RM_CNX_V1.cnx attached the CNX container.</w:t>
      </w:r>
    </w:p>
    <w:p>
      <w:pPr>
        <w:pStyle w:val="ListBullet"/>
      </w:pPr>
      <w:r>
        <w:t>SET ORDER TO TAG LNAME selected the CNX tag.</w:t>
      </w:r>
    </w:p>
    <w:p>
      <w:pPr>
        <w:pStyle w:val="ListBullet"/>
      </w:pPr>
      <w:r>
        <w:t>SEEK "CLARK" found the matching row at record 2.</w:t>
      </w:r>
    </w:p>
    <w:p>
      <w:r>
        <w:t>Reader rule: v32/schema-created DBFs can use CNX; v64 CREATE X64 DBFs should use CDX/LMDB unless another path is separately proven.</w:t>
      </w:r>
    </w:p>
    <w:p>
      <w:pPr>
        <w:pStyle w:val="Heading2"/>
      </w:pPr>
      <w:r>
        <w:t>11. Navigation, Search, and Browse</w:t>
      </w:r>
    </w:p>
    <w:p>
      <w:r>
        <w:t>Navigation and search are transcript-backed by docs/manuals/developer/proofs/reader_manual_nav_import_export_probe_v1.transcript.txt.</w:t>
      </w:r>
    </w:p>
    <w:p>
      <w:r>
        <w:t>Useful commands:</w:t>
      </w:r>
    </w:p>
    <w:p>
      <w:pPr>
        <w:spacing w:before="60" w:after="160"/>
        <w:ind w:left="360"/>
      </w:pPr>
      <w:r>
        <w:rPr>
          <w:rFonts w:ascii="Consolas" w:hAnsi="Consolas"/>
          <w:sz w:val="18"/>
        </w:rPr>
        <w:t>USE</w:t>
        <w:br/>
        <w:t>GO TOP</w:t>
        <w:br/>
        <w:t>GO BOTTOM</w:t>
        <w:br/>
        <w:t>SKIP</w:t>
        <w:br/>
        <w:t>LIST</w:t>
        <w:br/>
        <w:t>LOCATE</w:t>
        <w:br/>
        <w:t>SEEK</w:t>
        <w:br/>
        <w:t>BROWSE</w:t>
        <w:br/>
        <w:t>SMARTLIST</w:t>
      </w:r>
    </w:p>
    <w:p>
      <w:r>
        <w:t>Basic navigation pattern:</w:t>
      </w:r>
    </w:p>
    <w:p>
      <w:pPr>
        <w:spacing w:before="60" w:after="160"/>
        <w:ind w:left="360"/>
      </w:pPr>
      <w:r>
        <w:rPr>
          <w:rFonts w:ascii="Consolas" w:hAnsi="Consolas"/>
          <w:sz w:val="18"/>
        </w:rPr>
        <w:t>GO TOP</w:t>
        <w:br/>
        <w:t>RECNO</w:t>
        <w:br/>
        <w:t>DISPLAY</w:t>
        <w:br/>
        <w:t>SKIP</w:t>
        <w:br/>
        <w:t>RECNO</w:t>
        <w:br/>
        <w:t>DISPLAY</w:t>
        <w:br/>
        <w:t>GO BOTTOM</w:t>
        <w:br/>
        <w:t>RECNO</w:t>
        <w:br/>
        <w:t>DISPLAY</w:t>
      </w:r>
    </w:p>
    <w:p>
      <w:r>
        <w:t>Search/filter pattern:</w:t>
      </w:r>
    </w:p>
    <w:p>
      <w:pPr>
        <w:spacing w:before="60" w:after="160"/>
        <w:ind w:left="360"/>
      </w:pPr>
      <w:r>
        <w:rPr>
          <w:rFonts w:ascii="Consolas" w:hAnsi="Consolas"/>
          <w:sz w:val="18"/>
        </w:rPr>
        <w:t>LOCATE FOR LNAME = "CLARK"</w:t>
        <w:br/>
        <w:t>RECNO</w:t>
        <w:br/>
        <w:t>DISPLAY</w:t>
        <w:br/>
        <w:t>LOCATE FOR GPA &gt;= 3.5</w:t>
        <w:br/>
        <w:t>RECNO</w:t>
        <w:br/>
        <w:t>DISPLAY</w:t>
        <w:br/>
        <w:t>SMARTLIST SID,LNAME,FNAME,GPA NEXT 10</w:t>
        <w:br/>
        <w:t>SMARTLIST SID,LNAME,FNAME,GPA NEXT 10 FOR GPA &gt;= 3.0</w:t>
      </w:r>
    </w:p>
    <w:p>
      <w:r>
        <w:t>Observed proof:</w:t>
      </w:r>
    </w:p>
    <w:p>
      <w:pPr>
        <w:pStyle w:val="ListBullet"/>
      </w:pPr>
      <w:r>
        <w:t>GO TOP, SKIP, and GO BOTTOM moved through the three-record test table.</w:t>
      </w:r>
    </w:p>
    <w:p>
      <w:pPr>
        <w:pStyle w:val="ListBullet"/>
      </w:pPr>
      <w:r>
        <w:t>LOCATE FOR LNAME = "CLARK" moved to the matching record.</w:t>
      </w:r>
    </w:p>
    <w:p>
      <w:pPr>
        <w:pStyle w:val="ListBullet"/>
      </w:pPr>
      <w:r>
        <w:t>LOCATE FOR GPA &gt;= 3.5 found the first matching numeric predicate.</w:t>
      </w:r>
    </w:p>
    <w:p>
      <w:pPr>
        <w:pStyle w:val="ListBullet"/>
      </w:pPr>
      <w:r>
        <w:t>SMARTLIST listed selected fields.</w:t>
      </w:r>
    </w:p>
    <w:p>
      <w:pPr>
        <w:pStyle w:val="ListBullet"/>
      </w:pPr>
      <w:r>
        <w:t>SMARTLIST ... FOR GPA &gt;= 3.0 returned only matching rows.</w:t>
      </w:r>
    </w:p>
    <w:p>
      <w:r>
        <w:t>Browse status: non-interactive BROWSE listing is transcript-backed by docs/manuals/developer/proofs/reader_manual_browse_probe_v1.transcript.txt.</w:t>
      </w:r>
    </w:p>
    <w:p>
      <w:r>
        <w:t>Proven non-interactive browse pattern:</w:t>
      </w:r>
    </w:p>
    <w:p>
      <w:pPr>
        <w:spacing w:before="60" w:after="160"/>
        <w:ind w:left="360"/>
      </w:pPr>
      <w:r>
        <w:rPr>
          <w:rFonts w:ascii="Consolas" w:hAnsi="Consolas"/>
          <w:sz w:val="18"/>
        </w:rPr>
        <w:t>GO TOP</w:t>
        <w:br/>
        <w:t>BROWSE PAGE 2 QUIET</w:t>
        <w:br/>
        <w:t>GO TOP</w:t>
        <w:br/>
        <w:t>BROWSE ALL QUIET</w:t>
      </w:r>
    </w:p>
    <w:p>
      <w:r>
        <w:t>Observed proof:</w:t>
      </w:r>
    </w:p>
    <w:p>
      <w:pPr>
        <w:pStyle w:val="ListBullet"/>
      </w:pPr>
      <w:r>
        <w:t>BROWSE PAGE 2 QUIET rendered two tuple rows and returned to the script.</w:t>
      </w:r>
    </w:p>
    <w:p>
      <w:pPr>
        <w:pStyle w:val="ListBullet"/>
      </w:pPr>
      <w:r>
        <w:t>BROWSE ALL QUIET rendered all rows and returned to the script.</w:t>
      </w:r>
    </w:p>
    <w:p>
      <w:r>
        <w:t>Interactive BROWSE, BROWSER, and BROWSETUI remain separate terminal workflows. Do not promote interactive browse recipes until they are tested in a suitable terminal session.</w:t>
      </w:r>
    </w:p>
    <w:p>
      <w:pPr>
        <w:pStyle w:val="Heading2"/>
      </w:pPr>
      <w:r>
        <w:t>12. Editing Data</w:t>
      </w:r>
    </w:p>
    <w:p>
      <w:r>
        <w:t>Basic editing flow:</w:t>
      </w:r>
    </w:p>
    <w:p>
      <w:pPr>
        <w:spacing w:before="60" w:after="160"/>
        <w:ind w:left="360"/>
      </w:pPr>
      <w:r>
        <w:rPr>
          <w:rFonts w:ascii="Consolas" w:hAnsi="Consolas"/>
          <w:sz w:val="18"/>
        </w:rPr>
        <w:t>APPEND</w:t>
        <w:br/>
        <w:t>REPLACE &lt;field&gt; WITH &lt;value&gt;</w:t>
        <w:br/>
        <w:t>LIST</w:t>
      </w:r>
    </w:p>
    <w:p>
      <w:r>
        <w:t>For examples that matter, include a readback step after each mutation group. If buffering or transaction behavior is involved, the final manual should explain whether changes are immediate, buffered, committed, or rolled back.</w:t>
      </w:r>
    </w:p>
    <w:p>
      <w:pPr>
        <w:pStyle w:val="Heading2"/>
      </w:pPr>
      <w:r>
        <w:t>13. Work Areas and Cursor Control</w:t>
      </w:r>
    </w:p>
    <w:p>
      <w:pPr>
        <w:jc w:val="center"/>
      </w:pPr>
      <w:r>
        <w:drawing>
          <wp:inline xmlns:a="http://schemas.openxmlformats.org/drawingml/2006/main" xmlns:pic="http://schemas.openxmlformats.org/drawingml/2006/picture">
            <wp:extent cx="5760720" cy="3374136"/>
            <wp:docPr id="7" name="Picture 7"/>
            <wp:cNvGraphicFramePr>
              <a:graphicFrameLocks noChangeAspect="1"/>
            </wp:cNvGraphicFramePr>
            <a:graphic>
              <a:graphicData uri="http://schemas.openxmlformats.org/drawingml/2006/picture">
                <pic:pic>
                  <pic:nvPicPr>
                    <pic:cNvPr id="0" name="diag-workareas-cursor.png"/>
                    <pic:cNvPicPr/>
                  </pic:nvPicPr>
                  <pic:blipFill>
                    <a:blip r:embed="rId14"/>
                    <a:stretch>
                      <a:fillRect/>
                    </a:stretch>
                  </pic:blipFill>
                  <pic:spPr>
                    <a:xfrm>
                      <a:off x="0" y="0"/>
                      <a:ext cx="5760720" cy="3374136"/>
                    </a:xfrm>
                    <a:prstGeom prst="rect"/>
                  </pic:spPr>
                </pic:pic>
              </a:graphicData>
            </a:graphic>
          </wp:inline>
        </w:drawing>
      </w:r>
    </w:p>
    <w:p>
      <w:pPr>
        <w:pStyle w:val="Caption"/>
        <w:jc w:val="center"/>
      </w:pPr>
      <w:r>
        <w:t>Figure 7. Current area and current record model. (DIAG-WORKAREAS-CURSOR, ANCHOR-CURSOR-WORKAREAS).</w:t>
      </w:r>
    </w:p>
    <w:p>
      <w:r>
        <w:t>Anchor: ANCHOR-CURSOR-WORKAREAS</w:t>
      </w:r>
    </w:p>
    <w:p>
      <w:r>
        <w:t>Maturity: M2 source-supported. The source and command surface are present; this section still needs current runtime transcripts before it becomes a promoted cursor tutorial.</w:t>
      </w:r>
    </w:p>
    <w:p>
      <w:r>
        <w:t>DotTalk++ follows the xBase work-area model. A work area is an engine-owned table slot. Commands run against the current area unless they explicitly name another area or all areas.</w:t>
      </w:r>
    </w:p>
    <w:p>
      <w:r>
        <w:t>Current source evidence:</w:t>
      </w:r>
    </w:p>
    <w:p>
      <w:pPr>
        <w:pStyle w:val="ListBullet"/>
      </w:pPr>
      <w:r>
        <w:t>src/cli/workareas.hpp wraps engine-owned DbArea slots without taking ownership away from the engine.</w:t>
      </w:r>
    </w:p>
    <w:p>
      <w:pPr>
        <w:pStyle w:val="ListBullet"/>
      </w:pPr>
      <w:r>
        <w:t>src/cli/cmd_recno.cpp implements RECNO as both a report command and a navigation command.</w:t>
      </w:r>
    </w:p>
    <w:p>
      <w:pPr>
        <w:pStyle w:val="ListBullet"/>
      </w:pPr>
      <w:r>
        <w:t>Browser and status code report record number, deleted state, physical record, and logical row where available.</w:t>
      </w:r>
    </w:p>
    <w:p>
      <w:r>
        <w:t>The reader-facing rule is simple:</w:t>
      </w:r>
    </w:p>
    <w:p>
      <w:pPr>
        <w:spacing w:before="60" w:after="160"/>
        <w:ind w:left="360"/>
      </w:pPr>
      <w:r>
        <w:rPr>
          <w:rFonts w:ascii="Consolas" w:hAnsi="Consolas"/>
          <w:sz w:val="18"/>
        </w:rPr>
        <w:t>Open table -&gt; current area -&gt; current record -&gt; command effect</w:t>
      </w:r>
    </w:p>
    <w:p>
      <w:r>
        <w:t>Commands such as LIST, REPLACE, LOCK, UNLOCK, COMMIT, and ROLLBACK only make sense when the current area is clear. When proof scripts exercise cursor behavior, they should report the current record before and after mutation-sensitive commands.</w:t>
      </w:r>
    </w:p>
    <w:p>
      <w:r>
        <w:t>Basic cursor pattern:</w:t>
      </w:r>
    </w:p>
    <w:p>
      <w:pPr>
        <w:spacing w:before="60" w:after="160"/>
        <w:ind w:left="360"/>
      </w:pPr>
      <w:r>
        <w:rPr>
          <w:rFonts w:ascii="Consolas" w:hAnsi="Consolas"/>
          <w:sz w:val="18"/>
        </w:rPr>
        <w:t>USE CUSTOMER</w:t>
        <w:br/>
        <w:t>RECNO</w:t>
        <w:br/>
        <w:t>RECNO 3</w:t>
        <w:br/>
        <w:t>LIST</w:t>
        <w:br/>
        <w:t>RECNO</w:t>
      </w:r>
    </w:p>
    <w:p>
      <w:r>
        <w:t>RECNO with no argument reports the current record number. RECNO &lt;n&gt; moves the cursor to record n and reports the resulting record number. It mutates cursor position but does not mutate table data.</w:t>
      </w:r>
    </w:p>
    <w:p>
      <w:r>
        <w:t>Important manual distinction:</w:t>
      </w:r>
    </w:p>
    <w:p>
      <w:pPr>
        <w:pStyle w:val="ListBullet"/>
      </w:pPr>
      <w:r>
        <w:t>Cursor movement changes what record is current.</w:t>
      </w:r>
    </w:p>
    <w:p>
      <w:pPr>
        <w:pStyle w:val="ListBullet"/>
      </w:pPr>
      <w:r>
        <w:t>Record editing changes table data.</w:t>
      </w:r>
    </w:p>
    <w:p>
      <w:pPr>
        <w:pStyle w:val="ListBullet"/>
      </w:pPr>
      <w:r>
        <w:t>Buffering may delay when edits become physical table data.</w:t>
      </w:r>
    </w:p>
    <w:p>
      <w:pPr>
        <w:pStyle w:val="ListBullet"/>
      </w:pPr>
      <w:r>
        <w:t>Commit/rollback may preserve or discard buffered edits.</w:t>
      </w:r>
    </w:p>
    <w:p>
      <w:pPr>
        <w:pStyle w:val="ListBullet"/>
      </w:pPr>
      <w:r>
        <w:t>Some commands restore the cursor best-effort after scans or aggregate operations.</w:t>
      </w:r>
    </w:p>
    <w:p>
      <w:r>
        <w:t>Proof gap: this section is source-supported and command-supported, but still needs a dedicated transcript for current-area selection, RECNO, GOTO, SKIP, scan cursor restoration, and multi-area behavior.</w:t>
      </w:r>
    </w:p>
    <w:p>
      <w:r>
        <w:t>Maturity target: M3 after reader_manual_cursor_control_v1 proves cursor movement and readback; M4 after the section includes transcript paths and expected output.</w:t>
      </w:r>
    </w:p>
    <w:p>
      <w:pPr>
        <w:pStyle w:val="Heading2"/>
      </w:pPr>
      <w:r>
        <w:t>14. Record and Table Locking</w:t>
      </w:r>
    </w:p>
    <w:p>
      <w:pPr>
        <w:jc w:val="center"/>
      </w:pPr>
      <w:r>
        <w:drawing>
          <wp:inline xmlns:a="http://schemas.openxmlformats.org/drawingml/2006/main" xmlns:pic="http://schemas.openxmlformats.org/drawingml/2006/picture">
            <wp:extent cx="5760720" cy="3374136"/>
            <wp:docPr id="8" name="Picture 8"/>
            <wp:cNvGraphicFramePr>
              <a:graphicFrameLocks noChangeAspect="1"/>
            </wp:cNvGraphicFramePr>
            <a:graphic>
              <a:graphicData uri="http://schemas.openxmlformats.org/drawingml/2006/picture">
                <pic:pic>
                  <pic:nvPicPr>
                    <pic:cNvPr id="0" name="diag-locking-lifecycle.png"/>
                    <pic:cNvPicPr/>
                  </pic:nvPicPr>
                  <pic:blipFill>
                    <a:blip r:embed="rId15"/>
                    <a:stretch>
                      <a:fillRect/>
                    </a:stretch>
                  </pic:blipFill>
                  <pic:spPr>
                    <a:xfrm>
                      <a:off x="0" y="0"/>
                      <a:ext cx="5760720" cy="3374136"/>
                    </a:xfrm>
                    <a:prstGeom prst="rect"/>
                  </pic:spPr>
                </pic:pic>
              </a:graphicData>
            </a:graphic>
          </wp:inline>
        </w:drawing>
      </w:r>
    </w:p>
    <w:p>
      <w:pPr>
        <w:pStyle w:val="Caption"/>
        <w:jc w:val="center"/>
      </w:pPr>
      <w:r>
        <w:t>Figure 8. Lock mutate unlock lifecycle. (DIAG-LOCKING-LIFECYCLE, ANCHOR-LOCKING).</w:t>
      </w:r>
    </w:p>
    <w:p>
      <w:r>
        <w:t>Anchor: ANCHOR-LOCKING</w:t>
      </w:r>
    </w:p>
    <w:p>
      <w:r>
        <w:t>Maturity: M2 source-supported. LOCK and UNLOCK are implemented command surfaces with HELP messages, but this section still needs fresh lock transcripts before it is a full operational tutorial.</w:t>
      </w:r>
    </w:p>
    <w:p>
      <w:r>
        <w:t>DotTalk++ has a locking surface for coordinating access to records and tables. The user-facing commands are:</w:t>
      </w:r>
    </w:p>
    <w:p>
      <w:pPr>
        <w:spacing w:before="60" w:after="160"/>
        <w:ind w:left="360"/>
      </w:pPr>
      <w:r>
        <w:rPr>
          <w:rFonts w:ascii="Consolas" w:hAnsi="Consolas"/>
          <w:sz w:val="18"/>
        </w:rPr>
        <w:t>LOCK USAGE</w:t>
        <w:br/>
        <w:t>LOCK</w:t>
        <w:br/>
        <w:t>LOCK &lt;n&gt;</w:t>
        <w:br/>
        <w:t>LOCK ALL</w:t>
        <w:br/>
        <w:t>LOCK TABLE</w:t>
        <w:br/>
        <w:t>LOCK STATUS</w:t>
        <w:br/>
        <w:t>LOCK WHO &lt;n&gt;</w:t>
        <w:br/>
        <w:br/>
        <w:t>UNLOCK USAGE</w:t>
        <w:br/>
        <w:t>UNLOCK</w:t>
        <w:br/>
        <w:t>UNLOCK &lt;n&gt;</w:t>
        <w:br/>
        <w:t>UNLOCK ALL</w:t>
        <w:br/>
        <w:t>UNLOCK TABLE</w:t>
      </w:r>
    </w:p>
    <w:p>
      <w:r>
        <w:t>LOCK mutates lock state, not table data. UNLOCK releases lock state, not table data.</w:t>
      </w:r>
    </w:p>
    <w:p>
      <w:r>
        <w:t>Reader-facing behavior from source:</w:t>
      </w:r>
    </w:p>
    <w:p>
      <w:pPr>
        <w:pStyle w:val="ListBullet"/>
      </w:pPr>
      <w:r>
        <w:t>LOCK with no arguments locks the current record.</w:t>
      </w:r>
    </w:p>
    <w:p>
      <w:pPr>
        <w:pStyle w:val="ListBullet"/>
      </w:pPr>
      <w:r>
        <w:t>LOCK &lt;n&gt; locks record n.</w:t>
      </w:r>
    </w:p>
    <w:p>
      <w:pPr>
        <w:pStyle w:val="ListBullet"/>
      </w:pPr>
      <w:r>
        <w:t>LOCK ALL and LOCK TABLE lock the table.</w:t>
      </w:r>
    </w:p>
    <w:p>
      <w:pPr>
        <w:pStyle w:val="ListBullet"/>
      </w:pPr>
      <w:r>
        <w:t>LOCK STATUS reports table lock state and current-record lock state.</w:t>
      </w:r>
    </w:p>
    <w:p>
      <w:pPr>
        <w:pStyle w:val="ListBullet"/>
      </w:pPr>
      <w:r>
        <w:t>LOCK WHO &lt;n&gt; reports the recorded owner for a locked record.</w:t>
      </w:r>
    </w:p>
    <w:p>
      <w:pPr>
        <w:pStyle w:val="ListBullet"/>
      </w:pPr>
      <w:r>
        <w:t>UNLOCK with no arguments unlocks the current record.</w:t>
      </w:r>
    </w:p>
    <w:p>
      <w:pPr>
        <w:pStyle w:val="ListBullet"/>
      </w:pPr>
      <w:r>
        <w:t>UNLOCK &lt;n&gt; unlocks record n.</w:t>
      </w:r>
    </w:p>
    <w:p>
      <w:pPr>
        <w:pStyle w:val="ListBullet"/>
      </w:pPr>
      <w:r>
        <w:t>UNLOCK ALL and UNLOCK TABLE release the table lock.</w:t>
      </w:r>
    </w:p>
    <w:p>
      <w:r>
        <w:t>Operational pattern:</w:t>
      </w:r>
    </w:p>
    <w:p>
      <w:pPr>
        <w:spacing w:before="60" w:after="160"/>
        <w:ind w:left="360"/>
      </w:pPr>
      <w:r>
        <w:rPr>
          <w:rFonts w:ascii="Consolas" w:hAnsi="Consolas"/>
          <w:sz w:val="18"/>
        </w:rPr>
        <w:t>USE CUSTOMER</w:t>
        <w:br/>
        <w:t>RECNO 3</w:t>
        <w:br/>
        <w:t>LOCK STATUS</w:t>
        <w:br/>
        <w:t>LOCK</w:t>
        <w:br/>
        <w:t>LOCK STATUS</w:t>
        <w:br/>
        <w:t>REPLACE LNAME WITH "SMITH"</w:t>
        <w:br/>
        <w:t>UNLOCK</w:t>
        <w:br/>
        <w:t>LOCK STATUS</w:t>
      </w:r>
    </w:p>
    <w:p>
      <w:r>
        <w:t>Commit-time locking matters. COMMIT applies buffered changes by locking each affected record at commit time. If a record cannot be locked, commit can be partial and the remaining buffered changes stay buffered so the user can retry.</w:t>
      </w:r>
    </w:p>
    <w:p>
      <w:r>
        <w:t>Manual caveat: the command surface is supported in source and HELP messages, but this manual still needs fresh lock proof transcripts before presenting a full multi-user tutorial. Until then, locking prose should be direct but conservative.</w:t>
      </w:r>
    </w:p>
    <w:p>
      <w:r>
        <w:t>Maturity target: M3 after reader_manual_lock_unlock_v1 proves record lock, table lock, status, ownership, failed mutation under lock, and unlock readback.</w:t>
      </w:r>
    </w:p>
    <w:p>
      <w:pPr>
        <w:pStyle w:val="Heading2"/>
      </w:pPr>
      <w:r>
        <w:t>15. Table Buffering</w:t>
      </w:r>
    </w:p>
    <w:p>
      <w:pPr>
        <w:jc w:val="center"/>
      </w:pPr>
      <w:r>
        <w:drawing>
          <wp:inline xmlns:a="http://schemas.openxmlformats.org/drawingml/2006/main" xmlns:pic="http://schemas.openxmlformats.org/drawingml/2006/picture">
            <wp:extent cx="5760720" cy="3374136"/>
            <wp:docPr id="9" name="Picture 9"/>
            <wp:cNvGraphicFramePr>
              <a:graphicFrameLocks noChangeAspect="1"/>
            </wp:cNvGraphicFramePr>
            <a:graphic>
              <a:graphicData uri="http://schemas.openxmlformats.org/drawingml/2006/picture">
                <pic:pic>
                  <pic:nvPicPr>
                    <pic:cNvPr id="0" name="diag-buffer-commit-rollback.png"/>
                    <pic:cNvPicPr/>
                  </pic:nvPicPr>
                  <pic:blipFill>
                    <a:blip r:embed="rId16"/>
                    <a:stretch>
                      <a:fillRect/>
                    </a:stretch>
                  </pic:blipFill>
                  <pic:spPr>
                    <a:xfrm>
                      <a:off x="0" y="0"/>
                      <a:ext cx="5760720" cy="3374136"/>
                    </a:xfrm>
                    <a:prstGeom prst="rect"/>
                  </pic:spPr>
                </pic:pic>
              </a:graphicData>
            </a:graphic>
          </wp:inline>
        </w:drawing>
      </w:r>
    </w:p>
    <w:p>
      <w:pPr>
        <w:pStyle w:val="Caption"/>
        <w:jc w:val="center"/>
      </w:pPr>
      <w:r>
        <w:t>Figure 9. Buffered mutation closure. (DIAG-BUFFER-COMMIT-ROLLBACK, ANCHOR-TABLE-BUFFER; ANCHOR-COMMIT-ROLLBACK).</w:t>
      </w:r>
    </w:p>
    <w:p>
      <w:r>
        <w:t>Anchor: ANCHOR-TABLE-BUFFER</w:t>
      </w:r>
    </w:p>
    <w:p>
      <w:r>
        <w:t>Maturity: M2 source-supported. TABLE BUFFER and per-area buffer state exist; full reader promotion requires proof transcripts for staged changes, status/dump, commit, and rollback.</w:t>
      </w:r>
    </w:p>
    <w:p>
      <w:r>
        <w:t>Table buffering lets DotTalk++ hold changes in a per-area buffer before they are physically applied to the DBF. It is one of the features that makes the system feel like a serious database runtime instead of a simple file editor.</w:t>
      </w:r>
    </w:p>
    <w:p>
      <w:r>
        <w:t>Current command surface includes:</w:t>
      </w:r>
    </w:p>
    <w:p>
      <w:pPr>
        <w:spacing w:before="60" w:after="160"/>
        <w:ind w:left="360"/>
      </w:pPr>
      <w:r>
        <w:rPr>
          <w:rFonts w:ascii="Consolas" w:hAnsi="Consolas"/>
          <w:sz w:val="18"/>
        </w:rPr>
        <w:t>TABLE BUFFER ON [PERSISTENT|RAM] [&lt;n&gt;|ALL|n,m,...]</w:t>
        <w:br/>
        <w:t>TABLE BUFFER OFF [&lt;n&gt;|ALL|n,m,...]</w:t>
        <w:br/>
        <w:t>TABLE BUFFER PERSISTENT [ON|OFF] [&lt;n&gt;|ALL|n,m,...]</w:t>
        <w:br/>
        <w:t>TABLE BUFFER DIRTY [&lt;n&gt;|ALL|n,m,...]</w:t>
        <w:br/>
        <w:t>TABLE BUFFER CLEAN [&lt;n&gt;|ALL|n,m,...]</w:t>
        <w:br/>
        <w:t>TABLE BUFFER STALE [&lt;n&gt;|ALL|n,m,...]</w:t>
        <w:br/>
        <w:t>TABLE BUFFER FRESH [&lt;n&gt;|ALL|n,m,...]</w:t>
        <w:br/>
        <w:t>TABLE BUFFER STATUS [area|ALL]</w:t>
        <w:br/>
        <w:t>TABLE BUFFER DUMP [area|ALL]</w:t>
        <w:br/>
        <w:t>TABLE BUFFER TESTADD &lt;recno&gt; [flags] [field1] [value]</w:t>
        <w:br/>
        <w:t>TABLE BUFFER RESET</w:t>
      </w:r>
    </w:p>
    <w:p>
      <w:r>
        <w:t>The runtime model is per-area:</w:t>
      </w:r>
    </w:p>
    <w:p>
      <w:pPr>
        <w:pStyle w:val="ListBullet"/>
      </w:pPr>
      <w:r>
        <w:t>enabled or disabled</w:t>
      </w:r>
    </w:p>
    <w:p>
      <w:pPr>
        <w:pStyle w:val="ListBullet"/>
      </w:pPr>
      <w:r>
        <w:t>dirty or clean</w:t>
      </w:r>
    </w:p>
    <w:p>
      <w:pPr>
        <w:pStyle w:val="ListBullet"/>
      </w:pPr>
      <w:r>
        <w:t>stale or fresh</w:t>
      </w:r>
    </w:p>
    <w:p>
      <w:pPr>
        <w:pStyle w:val="ListBullet"/>
      </w:pPr>
      <w:r>
        <w:t>RAM-only or persistent-mode selection</w:t>
      </w:r>
    </w:p>
    <w:p>
      <w:pPr>
        <w:pStyle w:val="ListBullet"/>
      </w:pPr>
      <w:r>
        <w:t>buffered change rows keyed by record number</w:t>
      </w:r>
    </w:p>
    <w:p>
      <w:pPr>
        <w:pStyle w:val="ListBullet"/>
      </w:pPr>
      <w:r>
        <w:t>optional history mode where newer field changes win by priority</w:t>
      </w:r>
    </w:p>
    <w:p>
      <w:r>
        <w:t>The current TableBuffer stores change entries by record number. A change can represent insert, update, or delete intent. Field-level changes store one-based field numbers and new values.</w:t>
      </w:r>
    </w:p>
    <w:p>
      <w:r>
        <w:t>Reader-facing rule:</w:t>
      </w:r>
    </w:p>
    <w:p>
      <w:pPr>
        <w:spacing w:before="60" w:after="160"/>
        <w:ind w:left="360"/>
      </w:pPr>
      <w:r>
        <w:rPr>
          <w:rFonts w:ascii="Consolas" w:hAnsi="Consolas"/>
          <w:sz w:val="18"/>
        </w:rPr>
        <w:t>TABLE BUFFER controls whether changes are staged.</w:t>
        <w:br/>
        <w:t>COMMIT applies staged changes.</w:t>
        <w:br/>
        <w:t>ROLLBACK discards staged changes.</w:t>
      </w:r>
    </w:p>
    <w:p>
      <w:r>
        <w:t>Persistent buffering caveat: src/cli/table_state.cpp contains persistent journal hooks, but they are currently deliberate stubs. The manual should not claim crash-recovery journaling until a proof script shows journal creation, replay, commit closure, and rollback cleanup.</w:t>
      </w:r>
    </w:p>
    <w:p>
      <w:r>
        <w:t>Maturity target: M3 after reader_manual_table_buffer_commit_v1 and reader_manual_table_buffer_rollback_v1 prove buffer state, physical readback, and rollback readback.</w:t>
      </w:r>
    </w:p>
    <w:p>
      <w:pPr>
        <w:pStyle w:val="Heading2"/>
      </w:pPr>
      <w:r>
        <w:t>16. Commit and Rollback</w:t>
      </w:r>
    </w:p>
    <w:p>
      <w:pPr>
        <w:jc w:val="center"/>
      </w:pPr>
      <w:r>
        <w:drawing>
          <wp:inline xmlns:a="http://schemas.openxmlformats.org/drawingml/2006/main" xmlns:pic="http://schemas.openxmlformats.org/drawingml/2006/picture">
            <wp:extent cx="5760720" cy="3374136"/>
            <wp:docPr id="10" name="Picture 10"/>
            <wp:cNvGraphicFramePr>
              <a:graphicFrameLocks noChangeAspect="1"/>
            </wp:cNvGraphicFramePr>
            <a:graphic>
              <a:graphicData uri="http://schemas.openxmlformats.org/drawingml/2006/picture">
                <pic:pic>
                  <pic:nvPicPr>
                    <pic:cNvPr id="0" name="diag-buffer-commit-rollback.png"/>
                    <pic:cNvPicPr/>
                  </pic:nvPicPr>
                  <pic:blipFill>
                    <a:blip r:embed="rId16"/>
                    <a:stretch>
                      <a:fillRect/>
                    </a:stretch>
                  </pic:blipFill>
                  <pic:spPr>
                    <a:xfrm>
                      <a:off x="0" y="0"/>
                      <a:ext cx="5760720" cy="3374136"/>
                    </a:xfrm>
                    <a:prstGeom prst="rect"/>
                  </pic:spPr>
                </pic:pic>
              </a:graphicData>
            </a:graphic>
          </wp:inline>
        </w:drawing>
      </w:r>
    </w:p>
    <w:p>
      <w:pPr>
        <w:pStyle w:val="Caption"/>
        <w:jc w:val="center"/>
      </w:pPr>
      <w:r>
        <w:t>Figure 10. Buffered mutation closure. (DIAG-BUFFER-COMMIT-ROLLBACK, ANCHOR-TABLE-BUFFER; ANCHOR-COMMIT-ROLLBACK).</w:t>
      </w:r>
    </w:p>
    <w:p>
      <w:r>
        <w:t>Anchor: ANCHOR-COMMIT-ROLLBACK</w:t>
      </w:r>
    </w:p>
    <w:p>
      <w:r>
        <w:t>Maturity: M2 source-supported. COMMIT and ROLLBACK have source-level contracts and command handlers; promoted reader workflows need current transcripts.</w:t>
      </w:r>
    </w:p>
    <w:p>
      <w:r>
        <w:t>COMMIT and ROLLBACK define the lifecycle of buffered changes.</w:t>
      </w:r>
    </w:p>
    <w:p>
      <w:r>
        <w:t>COMMIT usage:</w:t>
      </w:r>
    </w:p>
    <w:p>
      <w:pPr>
        <w:spacing w:before="60" w:after="160"/>
        <w:ind w:left="360"/>
      </w:pPr>
      <w:r>
        <w:rPr>
          <w:rFonts w:ascii="Consolas" w:hAnsi="Consolas"/>
          <w:sz w:val="18"/>
        </w:rPr>
        <w:t>COMMIT USAGE</w:t>
        <w:br/>
        <w:t>COMMIT</w:t>
        <w:br/>
        <w:t>COMMIT ALL</w:t>
        <w:br/>
        <w:t>COMMIT MANUAL</w:t>
        <w:br/>
        <w:t>COMMIT INTERACTIVE</w:t>
        <w:br/>
        <w:t>COMMIT AUTO</w:t>
        <w:br/>
        <w:t>COMMIT ALL MANUAL</w:t>
        <w:br/>
        <w:t>COMMIT ALL INTERACTIVE</w:t>
        <w:br/>
        <w:t>COMMIT ALL AUTO</w:t>
      </w:r>
    </w:p>
    <w:p>
      <w:r>
        <w:t>ROLLBACK usage:</w:t>
      </w:r>
    </w:p>
    <w:p>
      <w:pPr>
        <w:spacing w:before="60" w:after="160"/>
        <w:ind w:left="360"/>
      </w:pPr>
      <w:r>
        <w:rPr>
          <w:rFonts w:ascii="Consolas" w:hAnsi="Consolas"/>
          <w:sz w:val="18"/>
        </w:rPr>
        <w:t>ROLLBACK USAGE</w:t>
        <w:br/>
        <w:t>ROLLBACK</w:t>
        <w:br/>
        <w:t>ROLLBACK ALL</w:t>
      </w:r>
    </w:p>
    <w:p>
      <w:r>
        <w:t>COMMIT applies buffered table changes for the current area, or for all open buffered areas when ALL is supplied. It locks affected records at commit time. If all buffered record applications succeed, it clears the buffer, clears dirty/stale state, flushes memo changes when a memo manager is present, and runs only the appropriate legacy index maintenance path.</w:t>
      </w:r>
    </w:p>
    <w:p>
      <w:r>
        <w:t>Important commit policy:</w:t>
      </w:r>
    </w:p>
    <w:p>
      <w:pPr>
        <w:pStyle w:val="ListBullet"/>
      </w:pPr>
      <w:r>
        <w:t>COMMIT does not rebuild CDX/LMDB containers.</w:t>
      </w:r>
    </w:p>
    <w:p>
      <w:pPr>
        <w:pStyle w:val="ListBullet"/>
      </w:pPr>
      <w:r>
        <w:t>CDX/LMDB update lifecycle belongs to runtime mutation hooks.</w:t>
      </w:r>
    </w:p>
    <w:p>
      <w:pPr>
        <w:pStyle w:val="ListBullet"/>
      </w:pPr>
      <w:r>
        <w:t>CNX remains rebuild-based.</w:t>
      </w:r>
    </w:p>
    <w:p>
      <w:pPr>
        <w:pStyle w:val="ListBullet"/>
      </w:pPr>
      <w:r>
        <w:t>INX/IDX remains reindex-based.</w:t>
      </w:r>
    </w:p>
    <w:p>
      <w:pPr>
        <w:pStyle w:val="ListBullet"/>
      </w:pPr>
      <w:r>
        <w:t>MANUAL, INTERACTIVE, and AUTO are accepted for compatibility, but do not make COMMIT rebuild CDX/LMDB.</w:t>
      </w:r>
    </w:p>
    <w:p>
      <w:r>
        <w:t>Partial commit is possible. If one or more records cannot be applied, successful records are committed and failed record changes remain buffered. The user can inspect the state, unlock or resolve the conflict, and retry COMMIT.</w:t>
      </w:r>
    </w:p>
    <w:p>
      <w:r>
        <w:t>ROLLBACK discards buffered/uncommitted changes. ROLLBACK without arguments clears the current area's buffered state. ROLLBACK ALL clears buffered state across all areas. It mutates buffer state and dirty/stale flags, but it does not mutate physical table data.</w:t>
      </w:r>
    </w:p>
    <w:p>
      <w:r>
        <w:t>Professional manual rule: every buffering example must end with either COMMIT plus readback or ROLLBACK plus readback. A database manual that teaches buffering without closure teaches unsafe habits.</w:t>
      </w:r>
    </w:p>
    <w:p>
      <w:r>
        <w:t>Maturity target: M3 after successful commit, rollback, and partial-conflict transcripts exist; M4 after the manual includes expected output and recovery steps.</w:t>
      </w:r>
    </w:p>
    <w:p>
      <w:pPr>
        <w:pStyle w:val="Heading2"/>
      </w:pPr>
      <w:r>
        <w:t>17. Operational Safety Checklist</w:t>
      </w:r>
    </w:p>
    <w:p>
      <w:r>
        <w:t>Anchor: ANCHOR-TABLE-BUFFER, ANCHOR-COMMIT-ROLLBACK, ANCHOR-LOCKING, ANCHOR-CURSOR-WORKAREAS</w:t>
      </w:r>
    </w:p>
    <w:p>
      <w:r>
        <w:t>Maturity: M1 anchored checklist. This is a reader-facing safety frame; each individual command still matures through its own proof transcripts.</w:t>
      </w:r>
    </w:p>
    <w:p>
      <w:r>
        <w:t>Before running a data-changing command, identify five states:</w:t>
      </w:r>
    </w:p>
    <w:p>
      <w:r>
        <w:rPr>
          <w:rFonts w:ascii="Consolas" w:hAnsi="Consolas"/>
          <w:sz w:val="16"/>
        </w:rPr>
        <w:t>| State | Question |</w:t>
      </w:r>
    </w:p>
    <w:p>
      <w:r>
        <w:rPr>
          <w:rFonts w:ascii="Consolas" w:hAnsi="Consolas"/>
          <w:sz w:val="16"/>
        </w:rPr>
        <w:t>|---|---|</w:t>
      </w:r>
    </w:p>
    <w:p>
      <w:r>
        <w:rPr>
          <w:rFonts w:ascii="Consolas" w:hAnsi="Consolas"/>
          <w:sz w:val="16"/>
        </w:rPr>
        <w:t>| Current area | Which table slot is active? |</w:t>
      </w:r>
    </w:p>
    <w:p>
      <w:r>
        <w:rPr>
          <w:rFonts w:ascii="Consolas" w:hAnsi="Consolas"/>
          <w:sz w:val="16"/>
        </w:rPr>
        <w:t>| Current record | Which record will record-oriented commands affect? |</w:t>
      </w:r>
    </w:p>
    <w:p>
      <w:r>
        <w:rPr>
          <w:rFonts w:ascii="Consolas" w:hAnsi="Consolas"/>
          <w:sz w:val="16"/>
        </w:rPr>
        <w:t>| Lock state | Is the record or table locked, and by whom? |</w:t>
      </w:r>
    </w:p>
    <w:p>
      <w:r>
        <w:rPr>
          <w:rFonts w:ascii="Consolas" w:hAnsi="Consolas"/>
          <w:sz w:val="16"/>
        </w:rPr>
        <w:t>| Buffer state | Are changes immediate or staged in TABLE BUFFER? |</w:t>
      </w:r>
    </w:p>
    <w:p>
      <w:r>
        <w:rPr>
          <w:rFonts w:ascii="Consolas" w:hAnsi="Consolas"/>
          <w:sz w:val="16"/>
        </w:rPr>
        <w:t>| Index/order state | Is logical order controlled by CNX, CDX, INX, IDX, or physical order? |</w:t>
      </w:r>
    </w:p>
    <w:p>
      <w:r>
        <w:t>Safe mutation pattern:</w:t>
      </w:r>
    </w:p>
    <w:p>
      <w:pPr>
        <w:spacing w:before="60" w:after="160"/>
        <w:ind w:left="360"/>
      </w:pPr>
      <w:r>
        <w:rPr>
          <w:rFonts w:ascii="Consolas" w:hAnsi="Consolas"/>
          <w:sz w:val="18"/>
        </w:rPr>
        <w:t>USE &lt;table&gt;</w:t>
        <w:br/>
        <w:t>RECNO</w:t>
        <w:br/>
        <w:t>LOCK STATUS</w:t>
        <w:br/>
        <w:t>TABLE BUFFER STATUS</w:t>
        <w:br/>
        <w:t>&lt;mutation command&gt;</w:t>
        <w:br/>
        <w:t>&lt;readback command&gt;</w:t>
        <w:br/>
        <w:t>COMMIT</w:t>
        <w:br/>
        <w:t>&lt;readback command&gt;</w:t>
        <w:br/>
        <w:t>UNLOCK</w:t>
      </w:r>
    </w:p>
    <w:p>
      <w:r>
        <w:t>Safe rollback pattern:</w:t>
      </w:r>
    </w:p>
    <w:p>
      <w:pPr>
        <w:spacing w:before="60" w:after="160"/>
        <w:ind w:left="360"/>
      </w:pPr>
      <w:r>
        <w:rPr>
          <w:rFonts w:ascii="Consolas" w:hAnsi="Consolas"/>
          <w:sz w:val="18"/>
        </w:rPr>
        <w:t>USE &lt;table&gt;</w:t>
        <w:br/>
        <w:t>TABLE BUFFER ON</w:t>
        <w:br/>
        <w:t>&lt;mutation command&gt;</w:t>
        <w:br/>
        <w:t>TABLE BUFFER DUMP</w:t>
        <w:br/>
        <w:t>ROLLBACK</w:t>
        <w:br/>
        <w:t>LIST</w:t>
        <w:br/>
        <w:t>TABLE BUFFER STATUS</w:t>
      </w:r>
    </w:p>
    <w:p>
      <w:r>
        <w:t>Reader rule: never treat a mutation as complete until the intended closure is visible. For immediate edits, closure is physical readback. For buffered edits, closure is COMMIT plus readback or ROLLBACK plus readback.</w:t>
      </w:r>
    </w:p>
    <w:p>
      <w:r>
        <w:t>Operational caveats:</w:t>
      </w:r>
    </w:p>
    <w:p>
      <w:pPr>
        <w:pStyle w:val="ListBullet"/>
      </w:pPr>
      <w:r>
        <w:t>A cursor move can change which record is edited.</w:t>
      </w:r>
    </w:p>
    <w:p>
      <w:pPr>
        <w:pStyle w:val="ListBullet"/>
      </w:pPr>
      <w:r>
        <w:t>A lock can prevent a commit from applying all buffered records.</w:t>
      </w:r>
    </w:p>
    <w:p>
      <w:pPr>
        <w:pStyle w:val="ListBullet"/>
      </w:pPr>
      <w:r>
        <w:t>A partial commit leaves failed changes buffered.</w:t>
      </w:r>
    </w:p>
    <w:p>
      <w:pPr>
        <w:pStyle w:val="ListBullet"/>
      </w:pPr>
      <w:r>
        <w:t>ROLLBACK discards buffered changes; it does not undo already committed physical table changes.</w:t>
      </w:r>
    </w:p>
    <w:p>
      <w:pPr>
        <w:pStyle w:val="ListBullet"/>
      </w:pPr>
      <w:r>
        <w:t>COMMIT does not rebuild CDX/LMDB containers; their lifecycle belongs to mutation hooks.</w:t>
      </w:r>
    </w:p>
    <w:p>
      <w:pPr>
        <w:pStyle w:val="ListBullet"/>
      </w:pPr>
      <w:r>
        <w:t>Persistent buffer journal recovery is future/stubbed until proven.</w:t>
      </w:r>
    </w:p>
    <w:p>
      <w:r>
        <w:t>This checklist should eventually become a full Database Administration Guide chapter with transcripts for normal operation, lock conflict, partial commit, rollback, and recovery cases.</w:t>
      </w:r>
    </w:p>
    <w:p>
      <w:pPr>
        <w:pStyle w:val="Heading2"/>
      </w:pPr>
      <w:r>
        <w:t>18. Import and Export</w:t>
      </w:r>
    </w:p>
    <w:p>
      <w:r>
        <w:t>CSV export and import are now transcript-backed.</w:t>
      </w:r>
    </w:p>
    <w:p>
      <w:r>
        <w:t>Export transcript: docs/manuals/developer/proofs/reader_manual_nav_import_export_probe_v1.transcript.txt</w:t>
      </w:r>
    </w:p>
    <w:p>
      <w:r>
        <w:t>Import transcripts:</w:t>
      </w:r>
    </w:p>
    <w:p>
      <w:pPr>
        <w:pStyle w:val="ListBullet"/>
      </w:pPr>
      <w:r>
        <w:t>docs/manuals/developer/proofs/reader_manual_import_probe_v1.transcript.txt</w:t>
      </w:r>
    </w:p>
    <w:p>
      <w:pPr>
        <w:pStyle w:val="ListBullet"/>
      </w:pPr>
      <w:r>
        <w:t>docs/manuals/developer/proofs/reader_manual_import_probe_v2.transcript.txt</w:t>
      </w:r>
    </w:p>
    <w:p>
      <w:r>
        <w:t>HELP reports:</w:t>
      </w:r>
    </w:p>
    <w:p>
      <w:pPr>
        <w:spacing w:before="60" w:after="160"/>
        <w:ind w:left="360"/>
      </w:pPr>
      <w:r>
        <w:rPr>
          <w:rFonts w:ascii="Consolas" w:hAnsi="Consolas"/>
          <w:sz w:val="18"/>
        </w:rPr>
        <w:t>IMPORT &lt;csv&gt;</w:t>
        <w:br/>
        <w:t>EXPORT &lt;csv&gt;</w:t>
      </w:r>
    </w:p>
    <w:p>
      <w:r>
        <w:t>Export pattern:</w:t>
      </w:r>
    </w:p>
    <w:p>
      <w:pPr>
        <w:spacing w:before="60" w:after="160"/>
        <w:ind w:left="360"/>
      </w:pPr>
      <w:r>
        <w:rPr>
          <w:rFonts w:ascii="Consolas" w:hAnsi="Consolas"/>
          <w:sz w:val="18"/>
        </w:rPr>
        <w:t>EXPORT docs\manuals\developer\proofs\reader_manual_nav_export_v1.csv</w:t>
        <w:br/>
        <w:t>EXPORT TO docs\manuals\developer\proofs\reader_manual_nav_export_to_v1.csv</w:t>
      </w:r>
    </w:p>
    <w:p>
      <w:r>
        <w:t>Observed export proof:</w:t>
      </w:r>
    </w:p>
    <w:p>
      <w:pPr>
        <w:pStyle w:val="ListBullet"/>
      </w:pPr>
      <w:r>
        <w:t>EXPORT &lt;csv&gt; wrote three records to the target CSV.</w:t>
      </w:r>
    </w:p>
    <w:p>
      <w:pPr>
        <w:pStyle w:val="ListBullet"/>
      </w:pPr>
      <w:r>
        <w:t>EXPORT TO &lt;csv&gt; also wrote three records.</w:t>
      </w:r>
    </w:p>
    <w:p>
      <w:pPr>
        <w:pStyle w:val="ListBullet"/>
      </w:pPr>
      <w:r>
        <w:t>The exported file contained the header SID,LNAME,FNAME,GPA and three rows.</w:t>
      </w:r>
    </w:p>
    <w:p>
      <w:r>
        <w:t>Import pattern:</w:t>
      </w:r>
    </w:p>
    <w:p>
      <w:pPr>
        <w:spacing w:before="60" w:after="160"/>
        <w:ind w:left="360"/>
      </w:pPr>
      <w:r>
        <w:rPr>
          <w:rFonts w:ascii="Consolas" w:hAnsi="Consolas"/>
          <w:sz w:val="18"/>
        </w:rPr>
        <w:t>CREATE X64 RM_IMPORT_V2 (SID N(6,0), LNAME C(20), FNAME C(15), GPA N(4,2))</w:t>
        <w:br/>
        <w:t>IMPORT docs\manuals\developer\proofs\reader_manual_nav_export_v1.csv</w:t>
        <w:br/>
        <w:t>STRUCT</w:t>
        <w:br/>
        <w:t>LIST</w:t>
        <w:br/>
        <w:t>STATUS</w:t>
      </w:r>
    </w:p>
    <w:p>
      <w:r>
        <w:t>Observed import proof:</w:t>
      </w:r>
    </w:p>
    <w:p>
      <w:pPr>
        <w:pStyle w:val="ListBullet"/>
      </w:pPr>
      <w:r>
        <w:t>IMPORT &lt;csv&gt; with no open table did not create a table; the transcript reported No file open.</w:t>
      </w:r>
    </w:p>
    <w:p>
      <w:pPr>
        <w:pStyle w:val="ListBullet"/>
      </w:pPr>
      <w:r>
        <w:t>After creating and opening a matching x64 table, IMPORT &lt;csv&gt; reported Imported 3 records.</w:t>
      </w:r>
    </w:p>
    <w:p>
      <w:pPr>
        <w:pStyle w:val="ListBullet"/>
      </w:pPr>
      <w:r>
        <w:t>STRUCT, LIST, and STATUS confirmed the imported table and record count.</w:t>
      </w:r>
    </w:p>
    <w:p>
      <w:r>
        <w:t>Reader rule: import requires an open compatible table. Export requires an open table and writes CSV.</w:t>
      </w:r>
    </w:p>
    <w:p>
      <w:pPr>
        <w:pStyle w:val="Heading2"/>
      </w:pPr>
      <w:r>
        <w:t>19. Commands and Functions Reference</w:t>
      </w:r>
    </w:p>
    <w:p>
      <w:pPr>
        <w:jc w:val="center"/>
      </w:pPr>
      <w:r>
        <w:drawing>
          <wp:inline xmlns:a="http://schemas.openxmlformats.org/drawingml/2006/main" xmlns:pic="http://schemas.openxmlformats.org/drawingml/2006/picture">
            <wp:extent cx="5760720" cy="3374136"/>
            <wp:docPr id="11" name="Picture 11"/>
            <wp:cNvGraphicFramePr>
              <a:graphicFrameLocks noChangeAspect="1"/>
            </wp:cNvGraphicFramePr>
            <a:graphic>
              <a:graphicData uri="http://schemas.openxmlformats.org/drawingml/2006/picture">
                <pic:pic>
                  <pic:nvPicPr>
                    <pic:cNvPr id="0" name="diag-command-harvest.png"/>
                    <pic:cNvPicPr/>
                  </pic:nvPicPr>
                  <pic:blipFill>
                    <a:blip r:embed="rId17"/>
                    <a:stretch>
                      <a:fillRect/>
                    </a:stretch>
                  </pic:blipFill>
                  <pic:spPr>
                    <a:xfrm>
                      <a:off x="0" y="0"/>
                      <a:ext cx="5760720" cy="3374136"/>
                    </a:xfrm>
                    <a:prstGeom prst="rect"/>
                  </pic:spPr>
                </pic:pic>
              </a:graphicData>
            </a:graphic>
          </wp:inline>
        </w:drawing>
      </w:r>
    </w:p>
    <w:p>
      <w:pPr>
        <w:pStyle w:val="Caption"/>
        <w:jc w:val="center"/>
      </w:pPr>
      <w:r>
        <w:t>Figure 11. Source usage contracts into guide entries. (DIAG-COMMAND-HARVEST, ANCHOR-COMMAND-USAGE-HARVEST).</w:t>
      </w:r>
    </w:p>
    <w:p>
      <w:r>
        <w:t>The command and function reference must be generated from the system catalogs, not hand-invented from memory.</w:t>
      </w:r>
    </w:p>
    <w:p>
      <w:r>
        <w:t>Current anchors:</w:t>
      </w:r>
    </w:p>
    <w:p>
      <w:pPr>
        <w:pStyle w:val="ListBullet"/>
      </w:pPr>
      <w:r>
        <w:t>ANCHOR-HELP-COMMANDS: dottalkpp/data/help/COMMANDS.dbf</w:t>
      </w:r>
    </w:p>
    <w:p>
      <w:pPr>
        <w:pStyle w:val="ListBullet"/>
      </w:pPr>
      <w:r>
        <w:t>ANCHOR-HELP-CMDARGS: dottalkpp/data/help/CMD_ARGS.dbf</w:t>
      </w:r>
    </w:p>
    <w:p>
      <w:pPr>
        <w:pStyle w:val="ListBullet"/>
      </w:pPr>
      <w:r>
        <w:t>ANCHOR-HELP-TOPICS: dottalkpp/data/help/HELP_TOPIC.dbf</w:t>
      </w:r>
    </w:p>
    <w:p>
      <w:pPr>
        <w:pStyle w:val="ListBullet"/>
      </w:pPr>
      <w:r>
        <w:t>ANCHOR-HELP-ARTIFACTS: dottalkpp/data/help/HELP_ARTIFACTS.dbf and dottalkpp/data/help/HELP_ARTIFACTS.dtx</w:t>
      </w:r>
    </w:p>
    <w:p>
      <w:pPr>
        <w:pStyle w:val="ListBullet"/>
      </w:pPr>
      <w:r>
        <w:t>ANCHOR-META-COLLECT: META semantic facts and comparison output.</w:t>
      </w:r>
    </w:p>
    <w:p>
      <w:pPr>
        <w:pStyle w:val="ListBullet"/>
      </w:pPr>
      <w:r>
        <w:t>ANCHOR-CMDHELPCHK: HELP/META validation.</w:t>
      </w:r>
    </w:p>
    <w:p>
      <w:pPr>
        <w:pStyle w:val="ListBullet"/>
      </w:pPr>
      <w:r>
        <w:t>ANCHOR-RUNTIME-PROOFS: transcript-backed behavior.</w:t>
      </w:r>
    </w:p>
    <w:p>
      <w:pPr>
        <w:pStyle w:val="ListBullet"/>
      </w:pPr>
      <w:r>
        <w:t>ANCHOR-COMMAND-USAGE-HARVEST: source-local @dottalk.usage v1 blocks and nearby command comments.</w:t>
      </w:r>
    </w:p>
    <w:p>
      <w:r>
        <w:t>Current command-reference artifacts:</w:t>
      </w:r>
    </w:p>
    <w:p>
      <w:pPr>
        <w:pStyle w:val="ListBullet"/>
      </w:pPr>
      <w:r>
        <w:t>DOTTALKPP_COMMAND_REFERENCE_GUIDE_V1.md: readable source-contract guide with one selected entry per command declaration where possible.</w:t>
      </w:r>
    </w:p>
    <w:p>
      <w:pPr>
        <w:pStyle w:val="ListBullet"/>
      </w:pPr>
      <w:r>
        <w:t>docs/manuals/command_reference/COMMAND_REFERENCE_USAGE_CONTRACT_HARVEST_V1.md: raw source harvest preserving all usage blocks.</w:t>
      </w:r>
    </w:p>
    <w:p>
      <w:pPr>
        <w:pStyle w:val="ListBullet"/>
      </w:pPr>
      <w:r>
        <w:t>docs/manuals/command_reference/command_reference_guide_v1.csv: structured selected guide rows.</w:t>
      </w:r>
    </w:p>
    <w:p>
      <w:pPr>
        <w:pStyle w:val="ListBullet"/>
      </w:pPr>
      <w:r>
        <w:t>docs/manuals/command_reference/command_reference_usage_contract_harvest_v1.csv: structured raw harvest rows.</w:t>
      </w:r>
    </w:p>
    <w:p>
      <w:pPr>
        <w:pStyle w:val="ListBullet"/>
      </w:pPr>
      <w:r>
        <w:t>docs/manuals/developer/manualgen/accepted_docs/man_cli_v1/manualgen_man_cli_command_reference.md: existing manualgen CLI command reference.</w:t>
      </w:r>
    </w:p>
    <w:p>
      <w:r>
        <w:t>The reader-facing reference should be generated with one row per command, function, or operator identity:</w:t>
      </w:r>
    </w:p>
    <w:p>
      <w:pPr>
        <w:spacing w:before="60" w:after="160"/>
        <w:ind w:left="360"/>
      </w:pPr>
      <w:r>
        <w:rPr>
          <w:rFonts w:ascii="Consolas" w:hAnsi="Consolas"/>
          <w:sz w:val="18"/>
        </w:rPr>
        <w:t>primary_name</w:t>
        <w:br/>
        <w:t>kind</w:t>
        <w:br/>
        <w:t>aliases</w:t>
        <w:br/>
        <w:t>syntax</w:t>
        <w:br/>
        <w:t>arguments</w:t>
        <w:br/>
        <w:t>help_topic</w:t>
        <w:br/>
        <w:t>meta_identity</w:t>
        <w:br/>
        <w:t>proof_status</w:t>
        <w:br/>
        <w:t>reader_status</w:t>
        <w:br/>
        <w:t>manual_section</w:t>
      </w:r>
    </w:p>
    <w:p>
      <w:r>
        <w:t>Reader status should use these values:</w:t>
      </w:r>
    </w:p>
    <w:p>
      <w:r>
        <w:rPr>
          <w:rFonts w:ascii="Consolas" w:hAnsi="Consolas"/>
          <w:sz w:val="16"/>
        </w:rPr>
        <w:t>| Status | Meaning |</w:t>
      </w:r>
    </w:p>
    <w:p>
      <w:r>
        <w:rPr>
          <w:rFonts w:ascii="Consolas" w:hAnsi="Consolas"/>
          <w:sz w:val="16"/>
        </w:rPr>
        <w:t>|---|---|</w:t>
      </w:r>
    </w:p>
    <w:p>
      <w:r>
        <w:rPr>
          <w:rFonts w:ascii="Consolas" w:hAnsi="Consolas"/>
          <w:sz w:val="16"/>
        </w:rPr>
        <w:t>| promoted | Safe to describe as a normal user command because HELP/META and runtime proof agree. |</w:t>
      </w:r>
    </w:p>
    <w:p>
      <w:r>
        <w:rPr>
          <w:rFonts w:ascii="Consolas" w:hAnsi="Consolas"/>
          <w:sz w:val="16"/>
        </w:rPr>
        <w:t>| documented | Appears in HELP/META and can be described, but still needs a fresh proof transcript. |</w:t>
      </w:r>
    </w:p>
    <w:p>
      <w:r>
        <w:rPr>
          <w:rFonts w:ascii="Consolas" w:hAnsi="Consolas"/>
          <w:sz w:val="16"/>
        </w:rPr>
        <w:t>| developer | Useful to maintainers, but not a normal reader command. |</w:t>
      </w:r>
    </w:p>
    <w:p>
      <w:r>
        <w:rPr>
          <w:rFonts w:ascii="Consolas" w:hAnsi="Consolas"/>
          <w:sz w:val="16"/>
        </w:rPr>
        <w:t>| legacy | Compatibility or historical surface; explain only with caveats. |</w:t>
      </w:r>
    </w:p>
    <w:p>
      <w:r>
        <w:rPr>
          <w:rFonts w:ascii="Consolas" w:hAnsi="Consolas"/>
          <w:sz w:val="16"/>
        </w:rPr>
        <w:t>| deferred | Known name, but not enough evidence for reader-facing documentation. |</w:t>
      </w:r>
    </w:p>
    <w:p>
      <w:r>
        <w:t>The first generated pass should focus on commands already used in this manual: CREATE X64, DDL CREATE DBF, USE, STRUCT, FIELDS, LIST, APPEND, REPLACE, RECNO, LOCK, UNLOCK, TABLE BUFFER, COMMIT, ROLLBACK, IMPORT, EXPORT, BROWSE, SET INDEX, SET ORDER, DOTSCRIPT, and HELP.</w:t>
      </w:r>
    </w:p>
    <w:p>
      <w:r>
        <w:t>Functions and expression operators should follow the same rule: catalog first, proof second, reader prose third. If a function appears in a catalog but has no current proof example, it belongs in the generated reference with reader_status=documented or deferred, not in tutorial prose.</w:t>
      </w:r>
    </w:p>
    <w:p>
      <w:pPr>
        <w:pStyle w:val="Heading2"/>
      </w:pPr>
      <w:r>
        <w:t>20. LabTalk Case Catalog</w:t>
      </w:r>
    </w:p>
    <w:p>
      <w:r>
        <w:t>LabTalk is an optional educational overlay for DotTalk++ and x64base. It should help readers understand why data systems, DBF records, indexes, schemas, and runtime proof matter.</w:t>
      </w:r>
    </w:p>
    <w:p>
      <w:r>
        <w:t>The current case catalog lives under:</w:t>
      </w:r>
    </w:p>
    <w:p>
      <w:pPr>
        <w:spacing w:before="60" w:after="160"/>
        <w:ind w:left="360"/>
      </w:pPr>
      <w:r>
        <w:rPr>
          <w:rFonts w:ascii="Consolas" w:hAnsi="Consolas"/>
          <w:sz w:val="18"/>
        </w:rPr>
        <w:t>docs/cases</w:t>
      </w:r>
    </w:p>
    <w:p>
      <w:r>
        <w:t>The catalog currently includes:</w:t>
      </w:r>
    </w:p>
    <w:p>
      <w:pPr>
        <w:pStyle w:val="ListBullet"/>
      </w:pPr>
      <w:r>
        <w:t>15 runtime-readable CASE_*.md files</w:t>
      </w:r>
    </w:p>
    <w:p>
      <w:pPr>
        <w:pStyle w:val="ListBullet"/>
      </w:pPr>
      <w:r>
        <w:t>CASE_FRAMEWORK.md</w:t>
      </w:r>
    </w:p>
    <w:p>
      <w:pPr>
        <w:pStyle w:val="ListBullet"/>
      </w:pPr>
      <w:r>
        <w:t>REGISTRY_CASES_v0.csv</w:t>
      </w:r>
    </w:p>
    <w:p>
      <w:pPr>
        <w:pStyle w:val="ListBullet"/>
      </w:pPr>
      <w:r>
        <w:t>REGISTRY_CASES_v0.md</w:t>
      </w:r>
    </w:p>
    <w:p>
      <w:pPr>
        <w:pStyle w:val="ListBullet"/>
      </w:pPr>
      <w:r>
        <w:t>MEDIA_ASSET_REGISTRY_v0.csv</w:t>
      </w:r>
    </w:p>
    <w:p>
      <w:pPr>
        <w:pStyle w:val="ListBullet"/>
      </w:pPr>
      <w:r>
        <w:t>runtime proof scaffolds for engineering cases</w:t>
      </w:r>
    </w:p>
    <w:p>
      <w:r>
        <w:t>First-wave review candidates:</w:t>
      </w:r>
    </w:p>
    <w:p>
      <w:pPr>
        <w:pStyle w:val="ListBullet"/>
      </w:pPr>
      <w:r>
        <w:t>HIST-000 The Data Trail Overview</w:t>
      </w:r>
    </w:p>
    <w:p>
      <w:pPr>
        <w:pStyle w:val="ListBullet"/>
      </w:pPr>
      <w:r>
        <w:t>HIST-020 JUMPS / 73C Army System</w:t>
      </w:r>
    </w:p>
    <w:p>
      <w:pPr>
        <w:pStyle w:val="ListBullet"/>
      </w:pPr>
      <w:r>
        <w:t>HIST-030 Unisys / CODASYL at ALCOA</w:t>
      </w:r>
    </w:p>
    <w:p>
      <w:pPr>
        <w:pStyle w:val="ListBullet"/>
      </w:pPr>
      <w:r>
        <w:t>HIST-040 xBase as a Major Platform</w:t>
      </w:r>
    </w:p>
    <w:p>
      <w:pPr>
        <w:pStyle w:val="ListBullet"/>
      </w:pPr>
      <w:r>
        <w:t>HIST-090 DotTalk++ / LabTalk and the AI Future</w:t>
      </w:r>
    </w:p>
    <w:p>
      <w:r>
        <w:t>Boundary rule: LabTalk case files are optional. Core x64base and professional DotTalk++ runtime behavior must remain usable without case media, storyboards, or source document files.</w:t>
      </w:r>
    </w:p>
    <w:p>
      <w:pPr>
        <w:pStyle w:val="Heading2"/>
      </w:pPr>
      <w:r>
        <w:t>21. Troubleshooting</w:t>
      </w:r>
    </w:p>
    <w:p>
      <w:r>
        <w:t>Use this checklist before changing code or docs:</w:t>
      </w:r>
    </w:p>
    <w:p>
      <w:pPr>
        <w:pStyle w:val="ListBullet"/>
      </w:pPr>
      <w:r>
        <w:t>Can the executable be found at the expected path?</w:t>
      </w:r>
    </w:p>
    <w:p>
      <w:pPr>
        <w:pStyle w:val="ListBullet"/>
      </w:pPr>
      <w:r>
        <w:t>Does the command appear in HELP or the command registry?</w:t>
      </w:r>
    </w:p>
    <w:p>
      <w:pPr>
        <w:pStyle w:val="ListBullet"/>
      </w:pPr>
      <w:r>
        <w:t>Is a table open before table-dependent commands run?</w:t>
      </w:r>
    </w:p>
    <w:p>
      <w:pPr>
        <w:pStyle w:val="ListBullet"/>
      </w:pPr>
      <w:r>
        <w:t>Did the script run through DOTSCRIPT ... OUT ...?</w:t>
      </w:r>
    </w:p>
    <w:p>
      <w:pPr>
        <w:pStyle w:val="ListBullet"/>
      </w:pPr>
      <w:r>
        <w:t>Did the workflow produce a transcript?</w:t>
      </w:r>
    </w:p>
    <w:p>
      <w:pPr>
        <w:pStyle w:val="ListBullet"/>
      </w:pPr>
      <w:r>
        <w:t>Did table creation include STRUCT, FIELDS, LIST, TUPLE, or STATUS readback?</w:t>
      </w:r>
    </w:p>
    <w:p>
      <w:pPr>
        <w:pStyle w:val="ListBullet"/>
      </w:pPr>
      <w:r>
        <w:t>Did index creation prove logical order and table contents separately?</w:t>
      </w:r>
    </w:p>
    <w:p>
      <w:pPr>
        <w:pStyle w:val="ListBullet"/>
      </w:pPr>
      <w:r>
        <w:t>Did SET INDEX attach the intended container?</w:t>
      </w:r>
    </w:p>
    <w:p>
      <w:pPr>
        <w:pStyle w:val="ListBullet"/>
      </w:pPr>
      <w:r>
        <w:t>Did SET ORDER select the intended tag or return to physical order?</w:t>
      </w:r>
    </w:p>
    <w:p>
      <w:pPr>
        <w:pStyle w:val="ListBullet"/>
      </w:pPr>
      <w:r>
        <w:t>Are CNX/CDX described as user-facing logical containers and LMDB as backend detail?</w:t>
      </w:r>
    </w:p>
    <w:p>
      <w:pPr>
        <w:pStyle w:val="ListBullet"/>
      </w:pPr>
      <w:r>
        <w:t>Is the schema a candidate, active contract, workspace schema, JSON Schema, or package-local schema?</w:t>
      </w:r>
    </w:p>
    <w:p>
      <w:pPr>
        <w:pStyle w:val="ListBullet"/>
      </w:pPr>
      <w:r>
        <w:t>Is the xBase/FoxPro material runtime-supported, source-supported, or only lineage/background?</w:t>
      </w:r>
    </w:p>
    <w:p>
      <w:pPr>
        <w:pStyle w:val="ListBullet"/>
      </w:pPr>
      <w:r>
        <w:t>Is the material reader-facing, or should it live in the developer appendix?</w:t>
      </w:r>
    </w:p>
    <w:p>
      <w:pPr>
        <w:pStyle w:val="Heading2"/>
      </w:pPr>
      <w:r>
        <w:t>22. Developer Appendix</w:t>
      </w:r>
    </w:p>
    <w:p>
      <w:r>
        <w:t>The following material is important for maintainers but should not dominate the reader body:</w:t>
      </w:r>
    </w:p>
    <w:p>
      <w:pPr>
        <w:pStyle w:val="ListBullet"/>
      </w:pPr>
      <w:r>
        <w:t>MAN* catalog internals</w:t>
      </w:r>
    </w:p>
    <w:p>
      <w:pPr>
        <w:pStyle w:val="ListBullet"/>
      </w:pPr>
      <w:r>
        <w:t>manualgen lifecycle</w:t>
      </w:r>
    </w:p>
    <w:p>
      <w:pPr>
        <w:pStyle w:val="ListBullet"/>
      </w:pPr>
      <w:r>
        <w:t>maintenance package and MDO terminology</w:t>
      </w:r>
    </w:p>
    <w:p>
      <w:pPr>
        <w:pStyle w:val="ListBullet"/>
      </w:pPr>
      <w:r>
        <w:t>drift/canary/review notes</w:t>
      </w:r>
    </w:p>
    <w:p>
      <w:pPr>
        <w:pStyle w:val="ListBullet"/>
      </w:pPr>
      <w:r>
        <w:t>harvest manifests</w:t>
      </w:r>
    </w:p>
    <w:p>
      <w:pPr>
        <w:pStyle w:val="ListBullet"/>
      </w:pPr>
      <w:r>
        <w:t>raw proof logs</w:t>
      </w:r>
    </w:p>
    <w:p>
      <w:pPr>
        <w:pStyle w:val="ListBullet"/>
      </w:pPr>
      <w:r>
        <w:t>deferred command-family reviews</w:t>
      </w:r>
    </w:p>
    <w:p>
      <w:r>
        <w:t>Current manualgen caveat: manual catalog status reported DRIFT because the accepted MAN* DBFs also appear as duplicate EXTRA_MAN_DBF rows. The expected table counts passed. Treat this as a catalog visibility issue until repaired or explicitly waived.</w:t>
      </w:r>
    </w:p>
    <w:p>
      <w:pPr>
        <w:pStyle w:val="Heading2"/>
      </w:pPr>
      <w:r>
        <w:t>23. Evidence Anchors and Manual Generation</w:t>
      </w:r>
    </w:p>
    <w:p>
      <w:pPr>
        <w:jc w:val="center"/>
      </w:pPr>
      <w:r>
        <w:drawing>
          <wp:inline xmlns:a="http://schemas.openxmlformats.org/drawingml/2006/main" xmlns:pic="http://schemas.openxmlformats.org/drawingml/2006/picture">
            <wp:extent cx="5760720" cy="3374136"/>
            <wp:docPr id="12" name="Picture 12"/>
            <wp:cNvGraphicFramePr>
              <a:graphicFrameLocks noChangeAspect="1"/>
            </wp:cNvGraphicFramePr>
            <a:graphic>
              <a:graphicData uri="http://schemas.openxmlformats.org/drawingml/2006/picture">
                <pic:pic>
                  <pic:nvPicPr>
                    <pic:cNvPr id="0" name="diag-evidence-pipeline.png"/>
                    <pic:cNvPicPr/>
                  </pic:nvPicPr>
                  <pic:blipFill>
                    <a:blip r:embed="rId18"/>
                    <a:stretch>
                      <a:fillRect/>
                    </a:stretch>
                  </pic:blipFill>
                  <pic:spPr>
                    <a:xfrm>
                      <a:off x="0" y="0"/>
                      <a:ext cx="5760720" cy="3374136"/>
                    </a:xfrm>
                    <a:prstGeom prst="rect"/>
                  </pic:spPr>
                </pic:pic>
              </a:graphicData>
            </a:graphic>
          </wp:inline>
        </w:drawing>
      </w:r>
    </w:p>
    <w:p>
      <w:pPr>
        <w:pStyle w:val="Caption"/>
        <w:jc w:val="center"/>
      </w:pPr>
      <w:r>
        <w:t>Figure 12. Evidence-to-manual promotion path. (DIAG-EVIDENCE-PIPELINE, ANCHOR-MANUAL-DIAGRAMS).</w:t>
      </w:r>
    </w:p>
    <w:p>
      <w:pPr>
        <w:jc w:val="center"/>
      </w:pPr>
      <w:r>
        <w:drawing>
          <wp:inline xmlns:a="http://schemas.openxmlformats.org/drawingml/2006/main" xmlns:pic="http://schemas.openxmlformats.org/drawingml/2006/picture">
            <wp:extent cx="5760720" cy="3374136"/>
            <wp:docPr id="13" name="Picture 13"/>
            <wp:cNvGraphicFramePr>
              <a:graphicFrameLocks noChangeAspect="1"/>
            </wp:cNvGraphicFramePr>
            <a:graphic>
              <a:graphicData uri="http://schemas.openxmlformats.org/drawingml/2006/picture">
                <pic:pic>
                  <pic:nvPicPr>
                    <pic:cNvPr id="0" name="diag-manual-family.png"/>
                    <pic:cNvPicPr/>
                  </pic:nvPicPr>
                  <pic:blipFill>
                    <a:blip r:embed="rId19"/>
                    <a:stretch>
                      <a:fillRect/>
                    </a:stretch>
                  </pic:blipFill>
                  <pic:spPr>
                    <a:xfrm>
                      <a:off x="0" y="0"/>
                      <a:ext cx="5760720" cy="3374136"/>
                    </a:xfrm>
                    <a:prstGeom prst="rect"/>
                  </pic:spPr>
                </pic:pic>
              </a:graphicData>
            </a:graphic>
          </wp:inline>
        </w:drawing>
      </w:r>
    </w:p>
    <w:p>
      <w:pPr>
        <w:pStyle w:val="Caption"/>
        <w:jc w:val="center"/>
      </w:pPr>
      <w:r>
        <w:t>Figure 13. Full manual family shape. (DIAG-MANUAL-FAMILY, ANCHOR-MANUAL-DIAGRAMS).</w:t>
      </w:r>
    </w:p>
    <w:p>
      <w:pPr>
        <w:jc w:val="center"/>
      </w:pPr>
      <w:r>
        <w:drawing>
          <wp:inline xmlns:a="http://schemas.openxmlformats.org/drawingml/2006/main" xmlns:pic="http://schemas.openxmlformats.org/drawingml/2006/picture">
            <wp:extent cx="5760720" cy="3374136"/>
            <wp:docPr id="14" name="Picture 14"/>
            <wp:cNvGraphicFramePr>
              <a:graphicFrameLocks noChangeAspect="1"/>
            </wp:cNvGraphicFramePr>
            <a:graphic>
              <a:graphicData uri="http://schemas.openxmlformats.org/drawingml/2006/picture">
                <pic:pic>
                  <pic:nvPicPr>
                    <pic:cNvPr id="0" name="diag-maturity-model.png"/>
                    <pic:cNvPicPr/>
                  </pic:nvPicPr>
                  <pic:blipFill>
                    <a:blip r:embed="rId20"/>
                    <a:stretch>
                      <a:fillRect/>
                    </a:stretch>
                  </pic:blipFill>
                  <pic:spPr>
                    <a:xfrm>
                      <a:off x="0" y="0"/>
                      <a:ext cx="5760720" cy="3374136"/>
                    </a:xfrm>
                    <a:prstGeom prst="rect"/>
                  </pic:spPr>
                </pic:pic>
              </a:graphicData>
            </a:graphic>
          </wp:inline>
        </w:drawing>
      </w:r>
    </w:p>
    <w:p>
      <w:pPr>
        <w:pStyle w:val="Caption"/>
        <w:jc w:val="center"/>
      </w:pPr>
      <w:r>
        <w:t>Figure 14. M0-M6 manual maturity ladder. (DIAG-MATURITY-MODEL, ANCHOR-MANUAL-DIAGRAMS).</w:t>
      </w:r>
    </w:p>
    <w:p>
      <w:pPr>
        <w:jc w:val="center"/>
      </w:pPr>
      <w:r>
        <w:drawing>
          <wp:inline xmlns:a="http://schemas.openxmlformats.org/drawingml/2006/main" xmlns:pic="http://schemas.openxmlformats.org/drawingml/2006/picture">
            <wp:extent cx="5760720" cy="3374136"/>
            <wp:docPr id="15" name="Picture 15"/>
            <wp:cNvGraphicFramePr>
              <a:graphicFrameLocks noChangeAspect="1"/>
            </wp:cNvGraphicFramePr>
            <a:graphic>
              <a:graphicData uri="http://schemas.openxmlformats.org/drawingml/2006/picture">
                <pic:pic>
                  <pic:nvPicPr>
                    <pic:cNvPr id="0" name="diag-proof-loop.png"/>
                    <pic:cNvPicPr/>
                  </pic:nvPicPr>
                  <pic:blipFill>
                    <a:blip r:embed="rId21"/>
                    <a:stretch>
                      <a:fillRect/>
                    </a:stretch>
                  </pic:blipFill>
                  <pic:spPr>
                    <a:xfrm>
                      <a:off x="0" y="0"/>
                      <a:ext cx="5760720" cy="3374136"/>
                    </a:xfrm>
                    <a:prstGeom prst="rect"/>
                  </pic:spPr>
                </pic:pic>
              </a:graphicData>
            </a:graphic>
          </wp:inline>
        </w:drawing>
      </w:r>
    </w:p>
    <w:p>
      <w:pPr>
        <w:pStyle w:val="Caption"/>
        <w:jc w:val="center"/>
      </w:pPr>
      <w:r>
        <w:t>Figure 15. Run capture readback promote loop. (DIAG-PROOF-LOOP, ANCHOR-RUNTIME-PROOFS).</w:t>
      </w:r>
    </w:p>
    <w:p>
      <w:r>
        <w:t>This manual now uses DOTTALKPP_MANUAL_ANCHOR_MAP_V1.md as the bridge between bottom-up harvest evidence and top-down reader prose.</w:t>
      </w:r>
    </w:p>
    <w:p>
      <w:r>
        <w:t>It uses DOTTALKPP_MANUAL_PROSE_GUIDE_V1.md as the rulebook for turning those anchors into readable orientation, tutorial, reference, concept, caveat, handoff, and data dictionary prose.</w:t>
      </w:r>
    </w:p>
    <w:p>
      <w:r>
        <w:t>The core pipeline is:</w:t>
      </w:r>
    </w:p>
    <w:p>
      <w:pPr>
        <w:spacing w:before="60" w:after="160"/>
        <w:ind w:left="360"/>
      </w:pPr>
      <w:r>
        <w:rPr>
          <w:rFonts w:ascii="Consolas" w:hAnsi="Consolas"/>
          <w:sz w:val="18"/>
        </w:rPr>
        <w:t>Source contracts</w:t>
        <w:br/>
        <w:t xml:space="preserve">  -&gt; HELP DBFs and metadata</w:t>
        <w:br/>
        <w:t xml:space="preserve">  -&gt; META/selfdoc inventories</w:t>
        <w:br/>
        <w:t xml:space="preserve">  -&gt; cmdhelpchk and maintenance validation</w:t>
        <w:br/>
        <w:t xml:space="preserve">  -&gt; runtime proof transcripts</w:t>
        <w:br/>
        <w:t xml:space="preserve">  -&gt; manualgen reviewed/published artifacts</w:t>
        <w:br/>
        <w:t xml:space="preserve">  -&gt; reader manual, developer manual, data dictionary</w:t>
      </w:r>
    </w:p>
    <w:p>
      <w:r>
        <w:t>Reader-facing claims should be promoted from anchors, not from memory. The important current anchors are:</w:t>
      </w:r>
    </w:p>
    <w:p>
      <w:pPr>
        <w:pStyle w:val="ListBullet"/>
      </w:pPr>
      <w:r>
        <w:t>ANCHOR-X64-TRINITY: include/xbase.hpp, include/xbase_vfp.hpp, and include/xbase_64.hpp.</w:t>
      </w:r>
    </w:p>
    <w:p>
      <w:pPr>
        <w:pStyle w:val="ListBullet"/>
      </w:pPr>
      <w:r>
        <w:t>ANCHOR-X64-VECTOR-NAMES: x64 vectored table and field names.</w:t>
      </w:r>
    </w:p>
    <w:p>
      <w:pPr>
        <w:pStyle w:val="ListBullet"/>
      </w:pPr>
      <w:r>
        <w:t>ANCHOR-X64-INDEXING: CNX/CDX/SET ORDER behavior and x64 indexing direction.</w:t>
      </w:r>
    </w:p>
    <w:p>
      <w:pPr>
        <w:pStyle w:val="ListBullet"/>
      </w:pPr>
      <w:r>
        <w:t>ANCHOR-X64-MEMOS: x64 memo structure and limits.</w:t>
      </w:r>
    </w:p>
    <w:p>
      <w:pPr>
        <w:pStyle w:val="ListBullet"/>
      </w:pPr>
      <w:r>
        <w:t>ANCHOR-HELP-COMMANDS, ANCHOR-HELP-CMDARGS, ANCHOR-HELP-TOPICS, ANCHOR-HELP-ARTIFACTS: HELP DBF surfaces.</w:t>
      </w:r>
    </w:p>
    <w:p>
      <w:pPr>
        <w:pStyle w:val="ListBullet"/>
      </w:pPr>
      <w:r>
        <w:t>ANCHOR-META-COLLECT: semantic collection facts and comparison outputs.</w:t>
      </w:r>
    </w:p>
    <w:p>
      <w:pPr>
        <w:pStyle w:val="ListBullet"/>
      </w:pPr>
      <w:r>
        <w:t>ANCHOR-CMDHELPCHK: HELP/META validation.</w:t>
      </w:r>
    </w:p>
    <w:p>
      <w:pPr>
        <w:pStyle w:val="ListBullet"/>
      </w:pPr>
      <w:r>
        <w:t>ANCHOR-SELFDOC-POLICY: provenance and collection policy.</w:t>
      </w:r>
    </w:p>
    <w:p>
      <w:pPr>
        <w:pStyle w:val="ListBullet"/>
      </w:pPr>
      <w:r>
        <w:t>ANCHOR-MANUALGEN-LIFECYCLE and ANCHOR-MANUALGEN-CATALOG: publication lifecycle and catalog state.</w:t>
      </w:r>
    </w:p>
    <w:p>
      <w:pPr>
        <w:pStyle w:val="ListBullet"/>
      </w:pPr>
      <w:r>
        <w:t>ANCHOR-DATADICT-SCHEMAS: data dictionary schema and proof reports.</w:t>
      </w:r>
    </w:p>
    <w:p>
      <w:pPr>
        <w:pStyle w:val="ListBullet"/>
      </w:pPr>
      <w:r>
        <w:t>ANCHOR-RUNTIME-PROOFS: transcript-backed command paths.</w:t>
      </w:r>
    </w:p>
    <w:p>
      <w:pPr>
        <w:pStyle w:val="ListBullet"/>
      </w:pPr>
      <w:r>
        <w:t>ANCHOR-CURSOR-WORKAREAS: work areas and cursor control.</w:t>
      </w:r>
    </w:p>
    <w:p>
      <w:pPr>
        <w:pStyle w:val="ListBullet"/>
      </w:pPr>
      <w:r>
        <w:t>ANCHOR-LOCKING: record and table locking.</w:t>
      </w:r>
    </w:p>
    <w:p>
      <w:pPr>
        <w:pStyle w:val="ListBullet"/>
      </w:pPr>
      <w:r>
        <w:t>ANCHOR-TABLE-BUFFER: table buffering.</w:t>
      </w:r>
    </w:p>
    <w:p>
      <w:pPr>
        <w:pStyle w:val="ListBullet"/>
      </w:pPr>
      <w:r>
        <w:t>ANCHOR-COMMIT-ROLLBACK: commit and rollback lifecycle.</w:t>
      </w:r>
    </w:p>
    <w:p>
      <w:pPr>
        <w:pStyle w:val="ListBullet"/>
      </w:pPr>
      <w:r>
        <w:t>ANCHOR-MANUAL-DIAGRAMS: simple SVG diagrams and their registry.</w:t>
      </w:r>
    </w:p>
    <w:p>
      <w:r>
        <w:t>The diagram registry is a visual companion to this anchor map. Diagrams may clarify architecture, harvest flow, locking, buffering, indexing, memo storage, and manual maturity, but they do not raise a claim's proof level by themselves. A visual should inherit the maturity state of the section and anchors it explains.</w:t>
      </w:r>
    </w:p>
    <w:p>
      <w:r>
        <w:t>The next command/function manual pass should generate a skeleton from HELP plus META with these columns:</w:t>
      </w:r>
    </w:p>
    <w:p>
      <w:pPr>
        <w:spacing w:before="60" w:after="160"/>
        <w:ind w:left="360"/>
      </w:pPr>
      <w:r>
        <w:rPr>
          <w:rFonts w:ascii="Consolas" w:hAnsi="Consolas"/>
          <w:sz w:val="18"/>
        </w:rPr>
        <w:t>command_id</w:t>
        <w:br/>
        <w:t>primary_name</w:t>
        <w:br/>
        <w:t>aliases</w:t>
        <w:br/>
        <w:t>argument_rows</w:t>
        <w:br/>
        <w:t>help_topic</w:t>
        <w:br/>
        <w:t>meta_identity</w:t>
        <w:br/>
        <w:t>proof_status</w:t>
        <w:br/>
        <w:t>manual_section</w:t>
        <w:br/>
        <w:t>reader_status</w:t>
      </w:r>
    </w:p>
    <w:p>
      <w:r>
        <w:t>The simple usage-contract harvest is the first direct source-backed seed for that reference. It does not replace HELP/META/manualgen. It gives the manual a practical per-command prose source: usage contract, purpose, notes, risk/mutation profile, related commands, and nearby source comments.</w:t>
      </w:r>
    </w:p>
    <w:p>
      <w:r>
        <w:t>That is the point where the richly cataloged system starts producing a reader-facing command and function reference instead of only a developer harvest ledger.</w:t>
      </w:r>
    </w:p>
    <w:p>
      <w:r>
        <w:t>Prose rule: catalogs identify what exists, anchors identify what is safe to say, and prose explains why a reader should care and what they should do next.</w:t>
      </w:r>
    </w:p>
    <w:p>
      <w:pPr>
        <w:pStyle w:val="Heading2"/>
      </w:pPr>
      <w:r>
        <w:t>Proof Artifacts</w:t>
      </w:r>
    </w:p>
    <w:p>
      <w:r>
        <w:t>Reader manual proof scripts and transcripts live in docs/manuals/developer/proofs.</w:t>
      </w:r>
    </w:p>
    <w:p>
      <w:r>
        <w:t>Key transcripts:</w:t>
      </w:r>
    </w:p>
    <w:p>
      <w:pPr>
        <w:pStyle w:val="ListBullet"/>
      </w:pPr>
      <w:r>
        <w:t>reader_manual_x64_walkthrough_v2.transcript.txt</w:t>
      </w:r>
    </w:p>
    <w:p>
      <w:pPr>
        <w:pStyle w:val="ListBullet"/>
      </w:pPr>
      <w:r>
        <w:t>reader_manual_order_cdx_v2.transcript.txt</w:t>
      </w:r>
    </w:p>
    <w:p>
      <w:pPr>
        <w:pStyle w:val="ListBullet"/>
      </w:pPr>
      <w:r>
        <w:t>reader_manual_order_cnx_v1.transcript.txt</w:t>
      </w:r>
    </w:p>
    <w:p>
      <w:pPr>
        <w:pStyle w:val="ListBullet"/>
      </w:pPr>
      <w:r>
        <w:t>reader_manual_browse_probe_v1.transcript.txt</w:t>
      </w:r>
    </w:p>
    <w:p>
      <w:pPr>
        <w:pStyle w:val="ListBullet"/>
      </w:pPr>
      <w:r>
        <w:t>reader_manual_nav_import_export_probe_v1.transcript.txt</w:t>
      </w:r>
    </w:p>
    <w:p>
      <w:pPr>
        <w:pStyle w:val="ListBullet"/>
      </w:pPr>
      <w:r>
        <w:t>reader_manual_import_probe_v1.transcript.txt</w:t>
      </w:r>
    </w:p>
    <w:p>
      <w:pPr>
        <w:pStyle w:val="ListBullet"/>
      </w:pPr>
      <w:r>
        <w:t>reader_manual_import_probe_v2.transcript.txt</w:t>
      </w:r>
    </w:p>
    <w:p>
      <w:pPr>
        <w:pStyle w:val="ListBullet"/>
      </w:pPr>
      <w:r>
        <w:t>reader_manual_schema_ddl_v2.transcript.txt</w:t>
      </w:r>
    </w:p>
    <w:p>
      <w:r>
        <w:t>Known caveat transcripts:</w:t>
      </w:r>
    </w:p>
    <w:p>
      <w:pPr>
        <w:pStyle w:val="ListBullet"/>
      </w:pPr>
      <w:r>
        <w:t>reader_manual_x64_walkthrough_v1.transcript.txt: shows DO X64 resolving as a missing script when no X64.dts profile exists.</w:t>
      </w:r>
    </w:p>
    <w:p>
      <w:pPr>
        <w:pStyle w:val="ListBullet"/>
      </w:pPr>
      <w:r>
        <w:t>reader_manual_order_cnx_cdx_v1.transcript.txt: shows v64 direct INX attach refused, CNX path not proven, and CDX requiring an LMDB build step.</w:t>
      </w:r>
    </w:p>
    <w:p>
      <w:pPr>
        <w:pStyle w:val="ListBullet"/>
      </w:pPr>
      <w:r>
        <w:t>reader_manual_schema_ddl_v1.transcript.txt: shows DDL succeeded but bare USE RM_SCHEMA_V1.dbf searched the DBF path instead of the TMP output path.</w:t>
      </w:r>
    </w:p>
    <w:p>
      <w:pPr>
        <w:pStyle w:val="Heading2"/>
      </w:pPr>
      <w:r>
        <w:t>Publication Notes</w:t>
      </w:r>
    </w:p>
    <w:p>
      <w:r>
        <w:t>This v1 manual promotes the transcript-backed command paths only. Interactive BROWSER and BROWSETUI are intentionally not promoted here; this manual covers non-interactive BROWSE listing.</w:t>
      </w:r>
    </w:p>
    <w:p>
      <w:r>
        <w:t>DO X64 is preserved as legacy/profile script vocabulary, but the reader quickstart uses proven CREATE X64 directly. If an X64.dts profile script is later restored or a native command form is proven, this manual can add it back to the quickstart.</w:t>
      </w:r>
    </w:p>
    <w:p>
      <w:r>
        <w:br w:type="page"/>
      </w:r>
    </w:p>
    <w:p>
      <w:pPr>
        <w:pStyle w:val="Heading1"/>
      </w:pPr>
      <w:r>
        <w:t>Appendix A: Anchor Map Summary</w:t>
      </w:r>
    </w:p>
    <w:tbl>
      <w:tblPr>
        <w:tblW w:type="auto" w:w="0"/>
        <w:tblLook w:firstColumn="1" w:firstRow="1" w:lastColumn="0" w:lastRow="0" w:noHBand="0" w:noVBand="1" w:val="04A0"/>
      </w:tblPr>
      <w:tblGrid>
        <w:gridCol w:w="2340"/>
        <w:gridCol w:w="2340"/>
        <w:gridCol w:w="2340"/>
        <w:gridCol w:w="2340"/>
      </w:tblGrid>
      <w:tr>
        <w:tc>
          <w:tcPr>
            <w:tcW w:type="dxa" w:w="2520"/>
            <w:vAlign w:val="center"/>
            <w:tcBorders>
              <w:top w:val="single" w:sz="4" w:space="0" w:color="B7C6D8"/>
              <w:left w:val="single" w:sz="4" w:space="0" w:color="B7C6D8"/>
              <w:bottom w:val="single" w:sz="4" w:space="0" w:color="B7C6D8"/>
              <w:right w:val="single" w:sz="4" w:space="0" w:color="B7C6D8"/>
            </w:tcBorders>
            <w:shd w:fill="E8EEF5"/>
          </w:tcPr>
          <w:p>
            <w:r>
              <w:t>Anchor</w:t>
            </w:r>
          </w:p>
        </w:tc>
        <w:tc>
          <w:tcPr>
            <w:tcW w:type="dxa" w:w="1944"/>
            <w:vAlign w:val="center"/>
            <w:tcBorders>
              <w:top w:val="single" w:sz="4" w:space="0" w:color="B7C6D8"/>
              <w:left w:val="single" w:sz="4" w:space="0" w:color="B7C6D8"/>
              <w:bottom w:val="single" w:sz="4" w:space="0" w:color="B7C6D8"/>
              <w:right w:val="single" w:sz="4" w:space="0" w:color="B7C6D8"/>
            </w:tcBorders>
            <w:shd w:fill="E8EEF5"/>
          </w:tcPr>
          <w:p>
            <w:r>
              <w:t>Layer</w:t>
            </w:r>
          </w:p>
        </w:tc>
        <w:tc>
          <w:tcPr>
            <w:tcW w:type="dxa" w:w="2376"/>
            <w:vAlign w:val="center"/>
            <w:tcBorders>
              <w:top w:val="single" w:sz="4" w:space="0" w:color="B7C6D8"/>
              <w:left w:val="single" w:sz="4" w:space="0" w:color="B7C6D8"/>
              <w:bottom w:val="single" w:sz="4" w:space="0" w:color="B7C6D8"/>
              <w:right w:val="single" w:sz="4" w:space="0" w:color="B7C6D8"/>
            </w:tcBorders>
            <w:shd w:fill="E8EEF5"/>
          </w:tcPr>
          <w:p>
            <w:r>
              <w:t>State</w:t>
            </w:r>
          </w:p>
        </w:tc>
        <w:tc>
          <w:tcPr>
            <w:tcW w:type="dxa" w:w="2520"/>
            <w:vAlign w:val="center"/>
            <w:tcBorders>
              <w:top w:val="single" w:sz="4" w:space="0" w:color="B7C6D8"/>
              <w:left w:val="single" w:sz="4" w:space="0" w:color="B7C6D8"/>
              <w:bottom w:val="single" w:sz="4" w:space="0" w:color="B7C6D8"/>
              <w:right w:val="single" w:sz="4" w:space="0" w:color="B7C6D8"/>
            </w:tcBorders>
            <w:shd w:fill="E8EEF5"/>
          </w:tcPr>
          <w:p>
            <w:r>
              <w:t>Manual Target</w:t>
            </w:r>
          </w:p>
        </w:tc>
      </w:tr>
      <w:tr>
        <w:tc>
          <w:tcPr>
            <w:tcW w:type="dxa" w:w="2340"/>
          </w:tcPr>
          <w:p>
            <w:r>
              <w:t>ANCHOR-X64-TRINITY</w:t>
            </w:r>
          </w:p>
        </w:tc>
        <w:tc>
          <w:tcPr>
            <w:tcW w:type="dxa" w:w="2340"/>
          </w:tcPr>
          <w:p>
            <w:r>
              <w:t>Source contract</w:t>
            </w:r>
          </w:p>
        </w:tc>
        <w:tc>
          <w:tcPr>
            <w:tcW w:type="dxa" w:w="2340"/>
          </w:tcPr>
          <w:p>
            <w:r>
              <w:t>observed</w:t>
            </w:r>
          </w:p>
        </w:tc>
        <w:tc>
          <w:tcPr>
            <w:tcW w:type="dxa" w:w="2340"/>
          </w:tcPr>
          <w:p>
            <w:r>
              <w:t>Trinity Headers; xBase Lineage; x64 Workflow</w:t>
            </w:r>
          </w:p>
        </w:tc>
      </w:tr>
      <w:tr>
        <w:tc>
          <w:tcPr>
            <w:tcW w:type="dxa" w:w="2340"/>
          </w:tcPr>
          <w:p>
            <w:r>
              <w:t>ANCHOR-X64-VECTOR-NAMES</w:t>
            </w:r>
          </w:p>
        </w:tc>
        <w:tc>
          <w:tcPr>
            <w:tcW w:type="dxa" w:w="2340"/>
          </w:tcPr>
          <w:p>
            <w:r>
              <w:t>Source contract</w:t>
            </w:r>
          </w:p>
        </w:tc>
        <w:tc>
          <w:tcPr>
            <w:tcW w:type="dxa" w:w="2340"/>
          </w:tcPr>
          <w:p>
            <w:r>
              <w:t>candidate</w:t>
            </w:r>
          </w:p>
        </w:tc>
        <w:tc>
          <w:tcPr>
            <w:tcW w:type="dxa" w:w="2340"/>
          </w:tcPr>
          <w:p>
            <w:r>
              <w:t>Vectored Table Names and Field Names</w:t>
            </w:r>
          </w:p>
        </w:tc>
      </w:tr>
      <w:tr>
        <w:tc>
          <w:tcPr>
            <w:tcW w:type="dxa" w:w="2340"/>
          </w:tcPr>
          <w:p>
            <w:r>
              <w:t>ANCHOR-X64-MEMOS</w:t>
            </w:r>
          </w:p>
        </w:tc>
        <w:tc>
          <w:tcPr>
            <w:tcW w:type="dxa" w:w="2340"/>
          </w:tcPr>
          <w:p>
            <w:r>
              <w:t>Source contract</w:t>
            </w:r>
          </w:p>
        </w:tc>
        <w:tc>
          <w:tcPr>
            <w:tcW w:type="dxa" w:w="2340"/>
          </w:tcPr>
          <w:p>
            <w:r>
              <w:t>candidate</w:t>
            </w:r>
          </w:p>
        </w:tc>
        <w:tc>
          <w:tcPr>
            <w:tcW w:type="dxa" w:w="2340"/>
          </w:tcPr>
          <w:p>
            <w:r>
              <w:t>Theoretical Limits; x64 Memo Limits</w:t>
            </w:r>
          </w:p>
        </w:tc>
      </w:tr>
      <w:tr>
        <w:tc>
          <w:tcPr>
            <w:tcW w:type="dxa" w:w="2340"/>
          </w:tcPr>
          <w:p>
            <w:r>
              <w:t>ANCHOR-X64-INDEXING</w:t>
            </w:r>
          </w:p>
        </w:tc>
        <w:tc>
          <w:tcPr>
            <w:tcW w:type="dxa" w:w="2340"/>
          </w:tcPr>
          <w:p>
            <w:r>
              <w:t>Runtime/indexing</w:t>
            </w:r>
          </w:p>
        </w:tc>
        <w:tc>
          <w:tcPr>
            <w:tcW w:type="dxa" w:w="2340"/>
          </w:tcPr>
          <w:p>
            <w:r>
              <w:t>proven/candidate</w:t>
            </w:r>
          </w:p>
        </w:tc>
        <w:tc>
          <w:tcPr>
            <w:tcW w:type="dxa" w:w="2340"/>
          </w:tcPr>
          <w:p>
            <w:r>
              <w:t>Indexes, CNX, CDX, and SET ORDER</w:t>
            </w:r>
          </w:p>
        </w:tc>
      </w:tr>
      <w:tr>
        <w:tc>
          <w:tcPr>
            <w:tcW w:type="dxa" w:w="2340"/>
          </w:tcPr>
          <w:p>
            <w:r>
              <w:t>ANCHOR-HELP-COMMANDS</w:t>
            </w:r>
          </w:p>
        </w:tc>
        <w:tc>
          <w:tcPr>
            <w:tcW w:type="dxa" w:w="2340"/>
          </w:tcPr>
          <w:p>
            <w:r>
              <w:t>HELP runtime</w:t>
            </w:r>
          </w:p>
        </w:tc>
        <w:tc>
          <w:tcPr>
            <w:tcW w:type="dxa" w:w="2340"/>
          </w:tcPr>
          <w:p>
            <w:r>
              <w:t>observed</w:t>
            </w:r>
          </w:p>
        </w:tc>
        <w:tc>
          <w:tcPr>
            <w:tcW w:type="dxa" w:w="2340"/>
          </w:tcPr>
          <w:p>
            <w:r>
              <w:t>Commands and Functions Reference</w:t>
            </w:r>
          </w:p>
        </w:tc>
      </w:tr>
      <w:tr>
        <w:tc>
          <w:tcPr>
            <w:tcW w:type="dxa" w:w="2340"/>
          </w:tcPr>
          <w:p>
            <w:r>
              <w:t>ANCHOR-HELP-CMDARGS</w:t>
            </w:r>
          </w:p>
        </w:tc>
        <w:tc>
          <w:tcPr>
            <w:tcW w:type="dxa" w:w="2340"/>
          </w:tcPr>
          <w:p>
            <w:r>
              <w:t>HELP runtime</w:t>
            </w:r>
          </w:p>
        </w:tc>
        <w:tc>
          <w:tcPr>
            <w:tcW w:type="dxa" w:w="2340"/>
          </w:tcPr>
          <w:p>
            <w:r>
              <w:t>observed</w:t>
            </w:r>
          </w:p>
        </w:tc>
        <w:tc>
          <w:tcPr>
            <w:tcW w:type="dxa" w:w="2340"/>
          </w:tcPr>
          <w:p>
            <w:r>
              <w:t>Command syntax and arguments</w:t>
            </w:r>
          </w:p>
        </w:tc>
      </w:tr>
      <w:tr>
        <w:tc>
          <w:tcPr>
            <w:tcW w:type="dxa" w:w="2340"/>
          </w:tcPr>
          <w:p>
            <w:r>
              <w:t>ANCHOR-HELP-TOPICS</w:t>
            </w:r>
          </w:p>
        </w:tc>
        <w:tc>
          <w:tcPr>
            <w:tcW w:type="dxa" w:w="2340"/>
          </w:tcPr>
          <w:p>
            <w:r>
              <w:t>HELP runtime</w:t>
            </w:r>
          </w:p>
        </w:tc>
        <w:tc>
          <w:tcPr>
            <w:tcW w:type="dxa" w:w="2340"/>
          </w:tcPr>
          <w:p>
            <w:r>
              <w:t>observed</w:t>
            </w:r>
          </w:p>
        </w:tc>
        <w:tc>
          <w:tcPr>
            <w:tcW w:type="dxa" w:w="2340"/>
          </w:tcPr>
          <w:p>
            <w:r>
              <w:t>Help topics and reader navigation</w:t>
            </w:r>
          </w:p>
        </w:tc>
      </w:tr>
      <w:tr>
        <w:tc>
          <w:tcPr>
            <w:tcW w:type="dxa" w:w="2340"/>
          </w:tcPr>
          <w:p>
            <w:r>
              <w:t>ANCHOR-HELP-ARTIFACTS</w:t>
            </w:r>
          </w:p>
        </w:tc>
        <w:tc>
          <w:tcPr>
            <w:tcW w:type="dxa" w:w="2340"/>
          </w:tcPr>
          <w:p>
            <w:r>
              <w:t>HELP runtime</w:t>
            </w:r>
          </w:p>
        </w:tc>
        <w:tc>
          <w:tcPr>
            <w:tcW w:type="dxa" w:w="2340"/>
          </w:tcPr>
          <w:p>
            <w:r>
              <w:t>observed</w:t>
            </w:r>
          </w:p>
        </w:tc>
        <w:tc>
          <w:tcPr>
            <w:tcW w:type="dxa" w:w="2340"/>
          </w:tcPr>
          <w:p>
            <w:r>
              <w:t>Embedded help artifacts</w:t>
            </w:r>
          </w:p>
        </w:tc>
      </w:tr>
      <w:tr>
        <w:tc>
          <w:tcPr>
            <w:tcW w:type="dxa" w:w="2340"/>
          </w:tcPr>
          <w:p>
            <w:r>
              <w:t>ANCHOR-META-COLLECT</w:t>
            </w:r>
          </w:p>
        </w:tc>
        <w:tc>
          <w:tcPr>
            <w:tcW w:type="dxa" w:w="2340"/>
          </w:tcPr>
          <w:p>
            <w:r>
              <w:t>META semantic layer</w:t>
            </w:r>
          </w:p>
        </w:tc>
        <w:tc>
          <w:tcPr>
            <w:tcW w:type="dxa" w:w="2340"/>
          </w:tcPr>
          <w:p>
            <w:r>
              <w:t>observed</w:t>
            </w:r>
          </w:p>
        </w:tc>
        <w:tc>
          <w:tcPr>
            <w:tcW w:type="dxa" w:w="2340"/>
          </w:tcPr>
          <w:p>
            <w:r>
              <w:t>Manual evidence and command identity</w:t>
            </w:r>
          </w:p>
        </w:tc>
      </w:tr>
      <w:tr>
        <w:tc>
          <w:tcPr>
            <w:tcW w:type="dxa" w:w="2340"/>
          </w:tcPr>
          <w:p>
            <w:r>
              <w:t>ANCHOR-CMDHELPCHK</w:t>
            </w:r>
          </w:p>
        </w:tc>
        <w:tc>
          <w:tcPr>
            <w:tcW w:type="dxa" w:w="2340"/>
          </w:tcPr>
          <w:p>
            <w:r>
              <w:t>Validation</w:t>
            </w:r>
          </w:p>
        </w:tc>
        <w:tc>
          <w:tcPr>
            <w:tcW w:type="dxa" w:w="2340"/>
          </w:tcPr>
          <w:p>
            <w:r>
              <w:t>observed</w:t>
            </w:r>
          </w:p>
        </w:tc>
        <w:tc>
          <w:tcPr>
            <w:tcW w:type="dxa" w:w="2340"/>
          </w:tcPr>
          <w:p>
            <w:r>
              <w:t>HELP/META alignment</w:t>
            </w:r>
          </w:p>
        </w:tc>
      </w:tr>
      <w:tr>
        <w:tc>
          <w:tcPr>
            <w:tcW w:type="dxa" w:w="2340"/>
          </w:tcPr>
          <w:p>
            <w:r>
              <w:t>ANCHOR-COMMAND-USAGE-HARVEST</w:t>
            </w:r>
          </w:p>
        </w:tc>
        <w:tc>
          <w:tcPr>
            <w:tcW w:type="dxa" w:w="2340"/>
          </w:tcPr>
          <w:p>
            <w:r>
              <w:t>Source usage contracts</w:t>
            </w:r>
          </w:p>
        </w:tc>
        <w:tc>
          <w:tcPr>
            <w:tcW w:type="dxa" w:w="2340"/>
          </w:tcPr>
          <w:p>
            <w:r>
              <w:t>observed</w:t>
            </w:r>
          </w:p>
        </w:tc>
        <w:tc>
          <w:tcPr>
            <w:tcW w:type="dxa" w:w="2340"/>
          </w:tcPr>
          <w:p>
            <w:r>
              <w:t>Commands and Functions Reference</w:t>
            </w:r>
          </w:p>
        </w:tc>
      </w:tr>
      <w:tr>
        <w:tc>
          <w:tcPr>
            <w:tcW w:type="dxa" w:w="2340"/>
          </w:tcPr>
          <w:p>
            <w:r>
              <w:t>ANCHOR-MANUAL-DIAGRAMS</w:t>
            </w:r>
          </w:p>
        </w:tc>
        <w:tc>
          <w:tcPr>
            <w:tcW w:type="dxa" w:w="2340"/>
          </w:tcPr>
          <w:p>
            <w:r>
              <w:t>Visual/manual assets</w:t>
            </w:r>
          </w:p>
        </w:tc>
        <w:tc>
          <w:tcPr>
            <w:tcW w:type="dxa" w:w="2340"/>
          </w:tcPr>
          <w:p>
            <w:r>
              <w:t>observed</w:t>
            </w:r>
          </w:p>
        </w:tc>
        <w:tc>
          <w:tcPr>
            <w:tcW w:type="dxa" w:w="2340"/>
          </w:tcPr>
          <w:p>
            <w:r>
              <w:t>Visual Manual Assets; Evidence Anchors and Manual Generation; section-level diagrams</w:t>
            </w:r>
          </w:p>
        </w:tc>
      </w:tr>
      <w:tr>
        <w:tc>
          <w:tcPr>
            <w:tcW w:type="dxa" w:w="2340"/>
          </w:tcPr>
          <w:p>
            <w:r>
              <w:t>ANCHOR-SELFDOC-POLICY</w:t>
            </w:r>
          </w:p>
        </w:tc>
        <w:tc>
          <w:tcPr>
            <w:tcW w:type="dxa" w:w="2340"/>
          </w:tcPr>
          <w:p>
            <w:r>
              <w:t>SelfDoc policy</w:t>
            </w:r>
          </w:p>
        </w:tc>
        <w:tc>
          <w:tcPr>
            <w:tcW w:type="dxa" w:w="2340"/>
          </w:tcPr>
          <w:p>
            <w:r>
              <w:t>observed</w:t>
            </w:r>
          </w:p>
        </w:tc>
        <w:tc>
          <w:tcPr>
            <w:tcW w:type="dxa" w:w="2340"/>
          </w:tcPr>
          <w:p>
            <w:r>
              <w:t>Developer Appendix; provenance rules</w:t>
            </w:r>
          </w:p>
        </w:tc>
      </w:tr>
      <w:tr>
        <w:tc>
          <w:tcPr>
            <w:tcW w:type="dxa" w:w="2340"/>
          </w:tcPr>
          <w:p>
            <w:r>
              <w:t>ANCHOR-MANUALGEN-LIFECYCLE</w:t>
            </w:r>
          </w:p>
        </w:tc>
        <w:tc>
          <w:tcPr>
            <w:tcW w:type="dxa" w:w="2340"/>
          </w:tcPr>
          <w:p>
            <w:r>
              <w:t>Manualgen</w:t>
            </w:r>
          </w:p>
        </w:tc>
        <w:tc>
          <w:tcPr>
            <w:tcW w:type="dxa" w:w="2340"/>
          </w:tcPr>
          <w:p>
            <w:r>
              <w:t>observed</w:t>
            </w:r>
          </w:p>
        </w:tc>
        <w:tc>
          <w:tcPr>
            <w:tcW w:type="dxa" w:w="2340"/>
          </w:tcPr>
          <w:p>
            <w:r>
              <w:t>Developer manual lifecycle</w:t>
            </w:r>
          </w:p>
        </w:tc>
      </w:tr>
      <w:tr>
        <w:tc>
          <w:tcPr>
            <w:tcW w:type="dxa" w:w="2340"/>
          </w:tcPr>
          <w:p>
            <w:r>
              <w:t>ANCHOR-MANUALGEN-CATALOG</w:t>
            </w:r>
          </w:p>
        </w:tc>
        <w:tc>
          <w:tcPr>
            <w:tcW w:type="dxa" w:w="2340"/>
          </w:tcPr>
          <w:p>
            <w:r>
              <w:t>Manualgen catalog</w:t>
            </w:r>
          </w:p>
        </w:tc>
        <w:tc>
          <w:tcPr>
            <w:tcW w:type="dxa" w:w="2340"/>
          </w:tcPr>
          <w:p>
            <w:r>
              <w:t>drift</w:t>
            </w:r>
          </w:p>
        </w:tc>
        <w:tc>
          <w:tcPr>
            <w:tcW w:type="dxa" w:w="2340"/>
          </w:tcPr>
          <w:p>
            <w:r>
              <w:t>Published manual references</w:t>
            </w:r>
          </w:p>
        </w:tc>
      </w:tr>
      <w:tr>
        <w:tc>
          <w:tcPr>
            <w:tcW w:type="dxa" w:w="2340"/>
          </w:tcPr>
          <w:p>
            <w:r>
              <w:t>ANCHOR-DATADICT-SCHEMAS</w:t>
            </w:r>
          </w:p>
        </w:tc>
        <w:tc>
          <w:tcPr>
            <w:tcW w:type="dxa" w:w="2340"/>
          </w:tcPr>
          <w:p>
            <w:r>
              <w:t>Data dictionary</w:t>
            </w:r>
          </w:p>
        </w:tc>
        <w:tc>
          <w:tcPr>
            <w:tcW w:type="dxa" w:w="2340"/>
          </w:tcPr>
          <w:p>
            <w:r>
              <w:t>observed</w:t>
            </w:r>
          </w:p>
        </w:tc>
        <w:tc>
          <w:tcPr>
            <w:tcW w:type="dxa" w:w="2340"/>
          </w:tcPr>
          <w:p>
            <w:r>
              <w:t>Data Dictionaries</w:t>
            </w:r>
          </w:p>
        </w:tc>
      </w:tr>
      <w:tr>
        <w:tc>
          <w:tcPr>
            <w:tcW w:type="dxa" w:w="2340"/>
          </w:tcPr>
          <w:p>
            <w:r>
              <w:t>ANCHOR-RUNTIME-PROOFS</w:t>
            </w:r>
          </w:p>
        </w:tc>
        <w:tc>
          <w:tcPr>
            <w:tcW w:type="dxa" w:w="2340"/>
          </w:tcPr>
          <w:p>
            <w:r>
              <w:t>Runtime proof</w:t>
            </w:r>
          </w:p>
        </w:tc>
        <w:tc>
          <w:tcPr>
            <w:tcW w:type="dxa" w:w="2340"/>
          </w:tcPr>
          <w:p>
            <w:r>
              <w:t>proven</w:t>
            </w:r>
          </w:p>
        </w:tc>
        <w:tc>
          <w:tcPr>
            <w:tcW w:type="dxa" w:w="2340"/>
          </w:tcPr>
          <w:p>
            <w:r>
              <w:t>Promoted command paths</w:t>
            </w:r>
          </w:p>
        </w:tc>
      </w:tr>
      <w:tr>
        <w:tc>
          <w:tcPr>
            <w:tcW w:type="dxa" w:w="2340"/>
          </w:tcPr>
          <w:p>
            <w:r>
              <w:t>ANCHOR-LABTALK-CASES</w:t>
            </w:r>
          </w:p>
        </w:tc>
        <w:tc>
          <w:tcPr>
            <w:tcW w:type="dxa" w:w="2340"/>
          </w:tcPr>
          <w:p>
            <w:r>
              <w:t>Case/manual overlay</w:t>
            </w:r>
          </w:p>
        </w:tc>
        <w:tc>
          <w:tcPr>
            <w:tcW w:type="dxa" w:w="2340"/>
          </w:tcPr>
          <w:p>
            <w:r>
              <w:t>observed</w:t>
            </w:r>
          </w:p>
        </w:tc>
        <w:tc>
          <w:tcPr>
            <w:tcW w:type="dxa" w:w="2340"/>
          </w:tcPr>
          <w:p>
            <w:r>
              <w:t>LabTalk Case Catalog</w:t>
            </w:r>
          </w:p>
        </w:tc>
      </w:tr>
      <w:tr>
        <w:tc>
          <w:tcPr>
            <w:tcW w:type="dxa" w:w="2340"/>
          </w:tcPr>
          <w:p>
            <w:r>
              <w:t>ANCHOR-X64BASE-README</w:t>
            </w:r>
          </w:p>
        </w:tc>
        <w:tc>
          <w:tcPr>
            <w:tcW w:type="dxa" w:w="2340"/>
          </w:tcPr>
          <w:p>
            <w:r>
              <w:t>Project positioning</w:t>
            </w:r>
          </w:p>
        </w:tc>
        <w:tc>
          <w:tcPr>
            <w:tcW w:type="dxa" w:w="2340"/>
          </w:tcPr>
          <w:p>
            <w:r>
              <w:t>observed</w:t>
            </w:r>
          </w:p>
        </w:tc>
        <w:tc>
          <w:tcPr>
            <w:tcW w:type="dxa" w:w="2340"/>
          </w:tcPr>
          <w:p>
            <w:r>
              <w:t>What DotTalk++ Is; History; Educational Purpose; Design Philosophy; Working Model; Current Status Snapshot</w:t>
            </w:r>
          </w:p>
        </w:tc>
      </w:tr>
      <w:tr>
        <w:tc>
          <w:tcPr>
            <w:tcW w:type="dxa" w:w="2340"/>
          </w:tcPr>
          <w:p>
            <w:r>
              <w:t>ANCHOR-CURSOR-WORKAREAS</w:t>
            </w:r>
          </w:p>
        </w:tc>
        <w:tc>
          <w:tcPr>
            <w:tcW w:type="dxa" w:w="2340"/>
          </w:tcPr>
          <w:p>
            <w:r>
              <w:t>Runtime state</w:t>
            </w:r>
          </w:p>
        </w:tc>
        <w:tc>
          <w:tcPr>
            <w:tcW w:type="dxa" w:w="2340"/>
          </w:tcPr>
          <w:p>
            <w:r>
              <w:t>observed</w:t>
            </w:r>
          </w:p>
        </w:tc>
        <w:tc>
          <w:tcPr>
            <w:tcW w:type="dxa" w:w="2340"/>
          </w:tcPr>
          <w:p>
            <w:r>
              <w:t>Work Areas and Cursor Control</w:t>
            </w:r>
          </w:p>
        </w:tc>
      </w:tr>
      <w:tr>
        <w:tc>
          <w:tcPr>
            <w:tcW w:type="dxa" w:w="2340"/>
          </w:tcPr>
          <w:p>
            <w:r>
              <w:t>ANCHOR-LOCKING</w:t>
            </w:r>
          </w:p>
        </w:tc>
        <w:tc>
          <w:tcPr>
            <w:tcW w:type="dxa" w:w="2340"/>
          </w:tcPr>
          <w:p>
            <w:r>
              <w:t>Concurrency</w:t>
            </w:r>
          </w:p>
        </w:tc>
        <w:tc>
          <w:tcPr>
            <w:tcW w:type="dxa" w:w="2340"/>
          </w:tcPr>
          <w:p>
            <w:r>
              <w:t>observed</w:t>
            </w:r>
          </w:p>
        </w:tc>
        <w:tc>
          <w:tcPr>
            <w:tcW w:type="dxa" w:w="2340"/>
          </w:tcPr>
          <w:p>
            <w:r>
              <w:t>Record and Table Locking</w:t>
            </w:r>
          </w:p>
        </w:tc>
      </w:tr>
      <w:tr>
        <w:tc>
          <w:tcPr>
            <w:tcW w:type="dxa" w:w="2340"/>
          </w:tcPr>
          <w:p>
            <w:r>
              <w:t>ANCHOR-TABLE-BUFFER</w:t>
            </w:r>
          </w:p>
        </w:tc>
        <w:tc>
          <w:tcPr>
            <w:tcW w:type="dxa" w:w="2340"/>
          </w:tcPr>
          <w:p>
            <w:r>
              <w:t>Buffering</w:t>
            </w:r>
          </w:p>
        </w:tc>
        <w:tc>
          <w:tcPr>
            <w:tcW w:type="dxa" w:w="2340"/>
          </w:tcPr>
          <w:p>
            <w:r>
              <w:t>observed</w:t>
            </w:r>
          </w:p>
        </w:tc>
        <w:tc>
          <w:tcPr>
            <w:tcW w:type="dxa" w:w="2340"/>
          </w:tcPr>
          <w:p>
            <w:r>
              <w:t>Table Buffering</w:t>
            </w:r>
          </w:p>
        </w:tc>
      </w:tr>
      <w:tr>
        <w:tc>
          <w:tcPr>
            <w:tcW w:type="dxa" w:w="2340"/>
          </w:tcPr>
          <w:p>
            <w:r>
              <w:t>ANCHOR-COMMIT-ROLLBACK</w:t>
            </w:r>
          </w:p>
        </w:tc>
        <w:tc>
          <w:tcPr>
            <w:tcW w:type="dxa" w:w="2340"/>
          </w:tcPr>
          <w:p>
            <w:r>
              <w:t>Transaction-like lifecycle</w:t>
            </w:r>
          </w:p>
        </w:tc>
        <w:tc>
          <w:tcPr>
            <w:tcW w:type="dxa" w:w="2340"/>
          </w:tcPr>
          <w:p>
            <w:r>
              <w:t>observed</w:t>
            </w:r>
          </w:p>
        </w:tc>
        <w:tc>
          <w:tcPr>
            <w:tcW w:type="dxa" w:w="2340"/>
          </w:tcPr>
          <w:p>
            <w:r>
              <w:t>Commit and Rollback</w:t>
            </w:r>
          </w:p>
        </w:tc>
      </w:tr>
    </w:tbl>
    <w:p>
      <w:r>
        <w:br w:type="page"/>
      </w:r>
    </w:p>
    <w:p>
      <w:pPr>
        <w:pStyle w:val="Heading1"/>
      </w:pPr>
      <w:r>
        <w:t>Appendix B: Maturity Model</w:t>
      </w:r>
    </w:p>
    <w:p>
      <w:r>
        <w:rPr>
          <w:rFonts w:ascii="Consolas" w:hAnsi="Consolas"/>
          <w:sz w:val="16"/>
        </w:rPr>
        <w:t>| Level | Name | Meaning | Reader use |</w:t>
      </w:r>
    </w:p>
    <w:p>
      <w:r>
        <w:rPr>
          <w:rFonts w:ascii="Consolas" w:hAnsi="Consolas"/>
          <w:sz w:val="16"/>
        </w:rPr>
        <w:t>| M0 | Captured | The concept was named by a user, source file, HELP row, META row, or harvest artifact. | Do not teach yet. Track it. |</w:t>
      </w:r>
    </w:p>
    <w:p>
      <w:r>
        <w:rPr>
          <w:rFonts w:ascii="Consolas" w:hAnsi="Consolas"/>
          <w:sz w:val="16"/>
        </w:rPr>
        <w:t>| M1 | Anchored | The concept has an anchor ID and evidence paths. | Can appear in planning, appendix, or caveat prose. |</w:t>
      </w:r>
    </w:p>
    <w:p>
      <w:r>
        <w:rPr>
          <w:rFonts w:ascii="Consolas" w:hAnsi="Consolas"/>
          <w:sz w:val="16"/>
        </w:rPr>
        <w:t>| M2 | Source-Supported | Source code, headers, or message catalogs show the command or structure exists. | Can be described with source-support caveats. |</w:t>
      </w:r>
    </w:p>
    <w:p>
      <w:r>
        <w:rPr>
          <w:rFonts w:ascii="Consolas" w:hAnsi="Consolas"/>
          <w:sz w:val="16"/>
        </w:rPr>
        <w:t>| M3 | Runtime-Proven | A transcript proves the behavior in the current runtime. | Can be taught as a workflow. |</w:t>
      </w:r>
    </w:p>
    <w:p>
      <w:r>
        <w:rPr>
          <w:rFonts w:ascii="Consolas" w:hAnsi="Consolas"/>
          <w:sz w:val="16"/>
        </w:rPr>
        <w:t>| M4 | Reader-Ready | The section has purpose, syntax, example, readback, caveats, anchors, and proof references. | Can appear in the user guide. |</w:t>
      </w:r>
    </w:p>
    <w:p>
      <w:r>
        <w:rPr>
          <w:rFonts w:ascii="Consolas" w:hAnsi="Consolas"/>
          <w:sz w:val="16"/>
        </w:rPr>
        <w:t>| M5 | Reference-Complete | HELP, META, command syntax, arguments, aliases, proof status, and related commands are cataloged. | Can appear in command/function reference. |</w:t>
      </w:r>
    </w:p>
    <w:p>
      <w:r>
        <w:rPr>
          <w:rFonts w:ascii="Consolas" w:hAnsi="Consolas"/>
          <w:sz w:val="16"/>
        </w:rPr>
        <w:t>| M6 | Release-Reviewed | Human or designated review accepted the prose, examples, and caveats. | Can be considered publication-grade. |</w:t>
      </w:r>
    </w:p>
    <w:p>
      <w:pPr>
        <w:pStyle w:val="Heading2"/>
      </w:pPr>
      <w:r>
        <w:t>Required Fields Per Manual Section</w:t>
      </w:r>
    </w:p>
    <w:p>
      <w:r>
        <w:t>Every serious section should eventually carry:</w:t>
      </w:r>
    </w:p>
    <w:p>
      <w:r>
        <w:t>```text</w:t>
      </w:r>
    </w:p>
    <w:p>
      <w:r>
        <w:t>Section title</w:t>
      </w:r>
    </w:p>
    <w:p>
      <w:r>
        <w:t>Prose role</w:t>
      </w:r>
    </w:p>
    <w:p>
      <w:r>
        <w:t>Anchor IDs</w:t>
      </w:r>
    </w:p>
    <w:p>
      <w:r>
        <w:t>Maturity level</w:t>
      </w:r>
    </w:p>
    <w:p>
      <w:r>
        <w:t>Reader purpose</w:t>
      </w:r>
    </w:p>
    <w:p>
      <w:r>
        <w:t>Source evidence</w:t>
      </w:r>
    </w:p>
    <w:p>
      <w:r>
        <w:t>Runtime proof</w:t>
      </w:r>
    </w:p>
    <w:p>
      <w:r>
        <w:t>Command/function surface</w:t>
      </w:r>
    </w:p>
    <w:p>
      <w:r>
        <w:t>Preconditions</w:t>
      </w:r>
    </w:p>
    <w:p>
      <w:r>
        <w:t>Example</w:t>
      </w:r>
    </w:p>
    <w:p>
      <w:r>
        <w:t>Expected readback</w:t>
      </w:r>
    </w:p>
    <w:p>
      <w:r>
        <w:t>Caveats</w:t>
      </w:r>
    </w:p>
    <w:p>
      <w:r>
        <w:t>Next closure action</w:t>
      </w:r>
    </w:p>
    <w:p>
      <w:r>
        <w:t>```</w:t>
      </w:r>
    </w:p>
    <w:p>
      <w:r>
        <w:t>Short sections can imply some of this, but the information must exist somewhere in the manual family.</w:t>
      </w:r>
    </w:p>
    <w:p>
      <w:pPr>
        <w:pStyle w:val="Heading2"/>
      </w:pPr>
      <w:r>
        <w:t>Promotion Rules</w:t>
      </w:r>
    </w:p>
    <w:p>
      <w:r>
        <w:t>M0 and M1 material may be harvested but should not be presented as normal user instructions.</w:t>
      </w:r>
    </w:p>
    <w:p>
      <w:r>
        <w:t>M2 material may be described as source-supported. Use phrases such as:</w:t>
      </w:r>
    </w:p>
    <w:p>
      <w:r>
        <w:t>```text</w:t>
      </w:r>
    </w:p>
    <w:p>
      <w:r>
        <w:t>The command surface exists in source and HELP, but this section still needs a current runtime transcript.</w:t>
      </w:r>
    </w:p>
    <w:p>
      <w:r>
        <w:t>```</w:t>
      </w:r>
    </w:p>
    <w:p>
      <w:r>
        <w:t>M3 material may be taught as a workflow if the transcript is current and repeatable.</w:t>
      </w:r>
    </w:p>
    <w:p>
      <w:r>
        <w:t>M4 material is reader-ready when it includes:</w:t>
      </w:r>
    </w:p>
    <w:p>
      <w:r>
        <w:t>- what the reader is trying to accomplish</w:t>
      </w:r>
    </w:p>
    <w:p>
      <w:r>
        <w:t>- command syntax</w:t>
      </w:r>
    </w:p>
    <w:p>
      <w:r>
        <w:t>- a minimal example</w:t>
      </w:r>
    </w:p>
    <w:p>
      <w:r>
        <w:t>- expected readback</w:t>
      </w:r>
    </w:p>
    <w:p>
      <w:r>
        <w:t>- known caveats</w:t>
      </w:r>
    </w:p>
    <w:p>
      <w:r>
        <w:t>- anchor IDs</w:t>
      </w:r>
    </w:p>
    <w:p>
      <w:r>
        <w:t>- proof path or proof task</w:t>
      </w:r>
    </w:p>
    <w:p>
      <w:r>
        <w:t>M5 material belongs in the command/function reference.</w:t>
      </w:r>
    </w:p>
    <w:p>
      <w:r>
        <w:t>M6 material is the publication target.</w:t>
      </w:r>
    </w:p>
    <w:p>
      <w:pPr>
        <w:pStyle w:val="Heading2"/>
      </w:pPr>
      <w:r>
        <w:t>Maturity Matrix For Current Advanced Sections</w:t>
      </w:r>
    </w:p>
    <w:p>
      <w:r>
        <w:rPr>
          <w:rFonts w:ascii="Consolas" w:hAnsi="Consolas"/>
          <w:sz w:val="16"/>
        </w:rPr>
        <w:t>| Section | Current level | Why | Next step |</w:t>
      </w:r>
    </w:p>
    <w:p>
      <w:r>
        <w:rPr>
          <w:rFonts w:ascii="Consolas" w:hAnsi="Consolas"/>
          <w:sz w:val="16"/>
        </w:rPr>
        <w:t>| Work Areas and Cursor Control | M2 | Source and command surface found for work areas and `RECNO`. | Add transcript for `RECNO`, `GOTO`, `SKIP`, current area, and cursor restoration. |</w:t>
      </w:r>
    </w:p>
    <w:p>
      <w:r>
        <w:rPr>
          <w:rFonts w:ascii="Consolas" w:hAnsi="Consolas"/>
          <w:sz w:val="16"/>
        </w:rPr>
        <w:t>| Record and Table Locking | M2 | `LOCK` and `UNLOCK` source and HELP messages exist. | Add transcript for record lock, table lock, status, ownership, blocked mutation, and unlock. |</w:t>
      </w:r>
    </w:p>
    <w:p>
      <w:r>
        <w:rPr>
          <w:rFonts w:ascii="Consolas" w:hAnsi="Consolas"/>
          <w:sz w:val="16"/>
        </w:rPr>
        <w:t>| Table Buffering | M2 | `TABLE BUFFER` command and table state machinery exist. | Add transcript for buffer on/off, dirty/clean/stale/fresh, buffered replace, dump, commit, rollback. |</w:t>
      </w:r>
    </w:p>
    <w:p>
      <w:r>
        <w:rPr>
          <w:rFonts w:ascii="Consolas" w:hAnsi="Consolas"/>
          <w:sz w:val="16"/>
        </w:rPr>
        <w:t>| Commit and Rollback | M2 | `COMMIT` and `ROLLBACK` source contracts exist. | Add transcript for successful commit, rollback, partial commit, memo flush if applicable, and index policy. |</w:t>
      </w:r>
    </w:p>
    <w:p>
      <w:r>
        <w:rPr>
          <w:rFonts w:ascii="Consolas" w:hAnsi="Consolas"/>
          <w:sz w:val="16"/>
        </w:rPr>
        <w:t>| Indexes, CNX, CDX, and SET ORDER | M3 | Existing reader proof transcripts cover promoted CDX/CNX order paths. | Promote command reference entries and add stress/edge proofs. |</w:t>
      </w:r>
    </w:p>
    <w:p>
      <w:r>
        <w:rPr>
          <w:rFonts w:ascii="Consolas" w:hAnsi="Consolas"/>
          <w:sz w:val="16"/>
        </w:rPr>
        <w:t>| Creating DBFs | M3 | x64 and schema DDL proof transcripts exist. | Add 128-byte vector-name proof, self-describing `X64M` readback, optional longer-name compile-time proof, and data dictionary linkouts. |</w:t>
      </w:r>
    </w:p>
    <w:p>
      <w:r>
        <w:rPr>
          <w:rFonts w:ascii="Consolas" w:hAnsi="Consolas"/>
          <w:sz w:val="16"/>
        </w:rPr>
        <w:t>| Vectored Table and Field Names | M2 | `include/xbase_64.hpp` defines `X64M`, name-vector metadata, 128-byte compile-time defaults, and 10-byte fallback tokens. | Prove a file can explain its logical table and field names from in-file `X64M`; prove any changed compile-time name limit before documenting it as a supported build profile. |</w:t>
      </w:r>
    </w:p>
    <w:p>
      <w:r>
        <w:rPr>
          <w:rFonts w:ascii="Consolas" w:hAnsi="Consolas"/>
          <w:sz w:val="16"/>
        </w:rPr>
        <w:t>| Project Overview and Educational Purpose | M2 | `x64base/README.md`, `x64base/README_NEW.md`, and harvested README prose define project positioning, history, and teaching goals. | Treat as reader-ready orientation after volatile status claims are checked against current runtime/proof state. |</w:t>
      </w:r>
    </w:p>
    <w:p>
      <w:r>
        <w:rPr>
          <w:rFonts w:ascii="Consolas" w:hAnsi="Consolas"/>
          <w:sz w:val="16"/>
        </w:rPr>
        <w:t>| Manual Diagram Assets | M1 | A diagram registry and simple SVG assets now exist under `docs/manuals/assets/diagrams`. | Embed visuals section-by-section after checking each diagram against its anchor, proof state, and rendered output target. |</w:t>
      </w:r>
    </w:p>
    <w:p>
      <w:r>
        <w:br w:type="page"/>
      </w:r>
    </w:p>
    <w:p>
      <w:pPr>
        <w:pStyle w:val="Heading1"/>
      </w:pPr>
      <w:r>
        <w:t>Appendix C: Command Reference Seed</w:t>
      </w:r>
    </w:p>
    <w:p>
      <w:r>
        <w:t xml:space="preserve">Selected command entries: 197  </w:t>
      </w:r>
    </w:p>
    <w:p>
      <w:r>
        <w:t>Raw harvested usage blocks: 457</w:t>
      </w:r>
    </w:p>
    <w:p>
      <w:r>
        <w:t>## Existing Command Reference Material</w:t>
      </w:r>
    </w:p>
    <w:p>
      <w:r>
        <w:t>You already have command-reference material in the manualgen lane:</w:t>
      </w:r>
    </w:p>
    <w:p>
      <w:r>
        <w:t>- docs/manuals/developer/manualgen/accepted_docs/man_cli_v1/manualgen_man_cli_command_reference.md</w:t>
      </w:r>
    </w:p>
    <w:p>
      <w:r>
        <w:t>- docs/manuals/developer/manualgen/reports/manualgen_command_reference_assembly_summary_v1.csv</w:t>
      </w:r>
    </w:p>
    <w:p>
      <w:r>
        <w:t>- docs/manuals/developer/manualgen/reports/command_reference_promoted_draft_summary_v1.csv</w:t>
      </w:r>
    </w:p>
    <w:p>
      <w:r>
        <w:t>This file is different: it is a direct source-contract harvest intended to seed the reader-facing command guide.</w:t>
      </w:r>
    </w:p>
    <w:p>
      <w:r>
        <w:t>## Promotion Rule</w:t>
      </w:r>
    </w:p>
    <w:p>
      <w:r>
        <w:t>A command entry becomes reader-ready only after its usage contract, HELP/META catalog identity, and runtime proof agree. Until then, treat this guide as source-supported reference seed.</w:t>
      </w:r>
    </w:p>
    <w:p>
      <w:pPr>
        <w:pStyle w:val="Heading2"/>
      </w:pPr>
      <w:r>
        <w:t>ABOUT</w:t>
      </w:r>
    </w:p>
    <w:p>
      <w:r>
        <w:t xml:space="preserve">Source: src/cli/cmd_about.cpp  </w:t>
      </w:r>
    </w:p>
    <w:p>
      <w:r>
        <w:t xml:space="preserve">Owner: DOT|ABOUT  </w:t>
      </w:r>
    </w:p>
    <w:p>
      <w:r>
        <w:t xml:space="preserve">Category: report  </w:t>
      </w:r>
    </w:p>
    <w:p>
      <w:r>
        <w:t xml:space="preserve">Status: supported  </w:t>
      </w:r>
    </w:p>
    <w:p>
      <w:r>
        <w:t xml:space="preserve">Effect: report  </w:t>
      </w:r>
    </w:p>
    <w:p>
      <w:r>
        <w:t xml:space="preserve">Mutates: none  </w:t>
      </w:r>
    </w:p>
    <w:p>
      <w:r>
        <w:t xml:space="preserve">Usage access: ABOUT USAGE  </w:t>
      </w:r>
    </w:p>
    <w:p>
      <w:pPr>
        <w:pStyle w:val="Heading3"/>
      </w:pPr>
      <w:r>
        <w:t>Purpose</w:t>
      </w:r>
    </w:p>
    <w:p>
      <w:r>
        <w:t>Print DotTalk++ project identity, lineage, author, runtime environment, and</w:t>
      </w:r>
    </w:p>
    <w:p>
      <w:r>
        <w:t xml:space="preserve">  current session summary.</w:t>
      </w:r>
    </w:p>
    <w:p>
      <w:pPr>
        <w:pStyle w:val="Heading3"/>
      </w:pPr>
      <w:r>
        <w:t>Usage</w:t>
      </w:r>
    </w:p>
    <w:p>
      <w:r>
        <w:t>ABOUT</w:t>
      </w:r>
    </w:p>
    <w:p>
      <w:r>
        <w:t xml:space="preserve">  ABOUT USAGE</w:t>
      </w:r>
    </w:p>
    <w:p>
      <w:pPr>
        <w:pStyle w:val="Heading3"/>
      </w:pPr>
      <w:r>
        <w:t>Notes</w:t>
      </w:r>
    </w:p>
    <w:p>
      <w:r>
        <w:t>ABOUT with no arguments prints the full project/runtime report.</w:t>
      </w:r>
    </w:p>
    <w:p>
      <w:r>
        <w:t xml:space="preserve">  ABOUT USAGE prints command usage only.</w:t>
      </w:r>
    </w:p>
    <w:p>
      <w:r>
        <w:t xml:space="preserve">  ABOUT is read-only and does not mutate table data or session state.</w:t>
      </w:r>
    </w:p>
    <w:p>
      <w:pPr>
        <w:pStyle w:val="Heading3"/>
      </w:pPr>
      <w:r>
        <w:t>Related</w:t>
      </w:r>
    </w:p>
    <w:p>
      <w:r>
        <w:t>VERSION</w:t>
      </w:r>
    </w:p>
    <w:p>
      <w:r>
        <w:t xml:space="preserve">  SQLVER</w:t>
      </w:r>
    </w:p>
    <w:p>
      <w:pPr>
        <w:pStyle w:val="Heading2"/>
      </w:pPr>
      <w:r>
        <w:t>AGGS</w:t>
      </w:r>
    </w:p>
    <w:p>
      <w:r>
        <w:t xml:space="preserve">Source: src/cli/cmd_aggs.cpp  </w:t>
      </w:r>
    </w:p>
    <w:p>
      <w:r>
        <w:t xml:space="preserve">Owner: DOT|AGGS  </w:t>
      </w:r>
    </w:p>
    <w:p>
      <w:r>
        <w:t xml:space="preserve">Category: aggregate  </w:t>
      </w:r>
    </w:p>
    <w:p>
      <w:r>
        <w:t xml:space="preserve">Status: supported  </w:t>
      </w:r>
    </w:p>
    <w:p>
      <w:r>
        <w:t xml:space="preserve">Effect: report  </w:t>
      </w:r>
    </w:p>
    <w:p>
      <w:r>
        <w:t xml:space="preserve">Mutates: cursor  </w:t>
      </w:r>
    </w:p>
    <w:p>
      <w:r>
        <w:t xml:space="preserve">Usage access: AGGS USAGE  </w:t>
      </w:r>
    </w:p>
    <w:p>
      <w:pPr>
        <w:pStyle w:val="Heading3"/>
      </w:pPr>
      <w:r>
        <w:t>Purpose</w:t>
      </w:r>
    </w:p>
    <w:p>
      <w:r>
        <w:t>AGGS is the aggregate family/owner for the direct aggregate verbs</w:t>
      </w:r>
    </w:p>
    <w:p>
      <w:r>
        <w:t xml:space="preserve">  SUM, AVG, MIN, and MAX.</w:t>
      </w:r>
    </w:p>
    <w:p>
      <w:pPr>
        <w:pStyle w:val="Heading3"/>
      </w:pPr>
      <w:r>
        <w:t>Usage</w:t>
      </w:r>
    </w:p>
    <w:p>
      <w:r>
        <w:t>AGGS USAGE</w:t>
      </w:r>
    </w:p>
    <w:p>
      <w:r>
        <w:t xml:space="preserve">  SUM USAGE</w:t>
      </w:r>
    </w:p>
    <w:p>
      <w:r>
        <w:t xml:space="preserve">  SUM &lt;value_expr&gt; [FOR &lt;pred&gt;] [WHERE &lt;pred&gt;] [DELETED|NOT DELETED|!DELETED]</w:t>
      </w:r>
    </w:p>
    <w:p>
      <w:r>
        <w:t xml:space="preserve">  AVG USAGE</w:t>
      </w:r>
    </w:p>
    <w:p>
      <w:r>
        <w:t xml:space="preserve">  AVG &lt;value_expr&gt; [FOR &lt;pred&gt;] [WHERE &lt;pred&gt;] [DELETED|NOT DELETED|!DELETED]</w:t>
      </w:r>
    </w:p>
    <w:p>
      <w:r>
        <w:t xml:space="preserve">  MIN USAGE</w:t>
      </w:r>
    </w:p>
    <w:p>
      <w:r>
        <w:t xml:space="preserve">  MIN &lt;value_expr&gt; [FOR &lt;pred&gt;] [WHERE &lt;pred&gt;] [DELETED|NOT DELETED|!DELETED]</w:t>
      </w:r>
    </w:p>
    <w:p>
      <w:r>
        <w:t xml:space="preserve">  MAX USAGE</w:t>
      </w:r>
    </w:p>
    <w:p>
      <w:r>
        <w:t xml:space="preserve">  MAX &lt;value_expr&gt; [FOR &lt;pred&gt;] [WHERE &lt;pred&gt;] [DELETED|NOT DELETED|!DELETED]</w:t>
      </w:r>
    </w:p>
    <w:p>
      <w:pPr>
        <w:pStyle w:val="Heading3"/>
      </w:pPr>
      <w:r>
        <w:t>Notes</w:t>
      </w:r>
    </w:p>
    <w:p>
      <w:r>
        <w:t>AGGS with no arguments prints aggregate-family usage.</w:t>
      </w:r>
    </w:p>
    <w:p>
      <w:r>
        <w:t xml:space="preserve">  SUM, AVG, MIN, and MAX are the direct aggregate verbs; AGGS owns the aggregate family.</w:t>
      </w:r>
    </w:p>
    <w:p>
      <w:r>
        <w:t xml:space="preserve">  Persistent SET FILTER and optional FOR/WHERE predicates both participate in visibility.</w:t>
      </w:r>
    </w:p>
    <w:p>
      <w:r>
        <w:t xml:space="preserve">  Cursor position is restored best-effort after the aggregate scan.</w:t>
      </w:r>
    </w:p>
    <w:p>
      <w:r>
        <w:t xml:space="preserve">  Aggregate commands report values; they do not mutate table data.</w:t>
      </w:r>
    </w:p>
    <w:p>
      <w:pPr>
        <w:pStyle w:val="Heading3"/>
      </w:pPr>
      <w:r>
        <w:t>Related</w:t>
      </w:r>
    </w:p>
    <w:p>
      <w:r>
        <w:t>COUNT</w:t>
      </w:r>
    </w:p>
    <w:p>
      <w:r>
        <w:t xml:space="preserve">  WHERE</w:t>
      </w:r>
    </w:p>
    <w:p>
      <w:r>
        <w:t xml:space="preserve">  SETFILTER</w:t>
      </w:r>
    </w:p>
    <w:p>
      <w:pPr>
        <w:pStyle w:val="Heading2"/>
      </w:pPr>
      <w:r>
        <w:t>APPEND</w:t>
      </w:r>
    </w:p>
    <w:p>
      <w:r>
        <w:t xml:space="preserve">Source: src/cli/cmd_append.cpp  </w:t>
      </w:r>
    </w:p>
    <w:p>
      <w:r>
        <w:t xml:space="preserve">Owner: DOT|APPEND  </w:t>
      </w:r>
    </w:p>
    <w:p>
      <w:r>
        <w:t xml:space="preserve">Category: data  </w:t>
      </w:r>
    </w:p>
    <w:p>
      <w:r>
        <w:t xml:space="preserve">Status: supported  </w:t>
      </w:r>
    </w:p>
    <w:p>
      <w:r>
        <w:t xml:space="preserve">Effect: mutate  </w:t>
      </w:r>
    </w:p>
    <w:p>
      <w:r>
        <w:t xml:space="preserve">Mutates: table-data index memo record-pointer  </w:t>
      </w:r>
    </w:p>
    <w:p>
      <w:r>
        <w:t xml:space="preserve">Usage access: APPEND USAGE  </w:t>
      </w:r>
    </w:p>
    <w:p>
      <w:pPr>
        <w:pStyle w:val="Heading3"/>
      </w:pPr>
      <w:r>
        <w:t>Purpose</w:t>
      </w:r>
    </w:p>
    <w:p>
      <w:r>
        <w:t>Append one or more blank records to the current table, using smart append</w:t>
      </w:r>
    </w:p>
    <w:p>
      <w:r>
        <w:t xml:space="preserve">  paths that maintain keys and active indexes, or raw append paths when requested.</w:t>
      </w:r>
    </w:p>
    <w:p>
      <w:pPr>
        <w:pStyle w:val="Heading3"/>
      </w:pPr>
      <w:r>
        <w:t>Usage</w:t>
      </w:r>
    </w:p>
    <w:p>
      <w:r>
        <w:t>APPEND USAGE</w:t>
      </w:r>
    </w:p>
    <w:p>
      <w:r>
        <w:t xml:space="preserve">  APPEND</w:t>
      </w:r>
    </w:p>
    <w:p>
      <w:r>
        <w:t xml:space="preserve">  APPEND &lt;count&gt;</w:t>
      </w:r>
    </w:p>
    <w:p>
      <w:r>
        <w:t xml:space="preserve">  APPEND MANY &lt;count&gt;</w:t>
      </w:r>
    </w:p>
    <w:p>
      <w:r>
        <w:t xml:space="preserve">  APPEND RAW</w:t>
      </w:r>
    </w:p>
    <w:p>
      <w:r>
        <w:t xml:space="preserve">  APPEND RAW MANY &lt;count&gt;</w:t>
      </w:r>
    </w:p>
    <w:p>
      <w:pPr>
        <w:pStyle w:val="Heading3"/>
      </w:pPr>
      <w:r>
        <w:t>Notes</w:t>
      </w:r>
    </w:p>
    <w:p>
      <w:r>
        <w:t>APPEND with no arguments appends one blank record through the shared smart append path.</w:t>
      </w:r>
    </w:p>
    <w:p>
      <w:r>
        <w:t xml:space="preserve">  APPEND &lt;count&gt; is shorthand for APPEND MANY &lt;count&gt;.</w:t>
      </w:r>
    </w:p>
    <w:p>
      <w:r>
        <w:t xml:space="preserve">  APPEND MANY &lt;count&gt; performs smart batch append under one lock.</w:t>
      </w:r>
    </w:p>
    <w:p>
      <w:r>
        <w:t xml:space="preserve">  APPEND RAW appends one record without inline index update.</w:t>
      </w:r>
    </w:p>
    <w:p>
      <w:r>
        <w:t xml:space="preserve">  APPEND RAW MANY &lt;count&gt; performs raw batch append under one lock.</w:t>
      </w:r>
    </w:p>
    <w:p>
      <w:r>
        <w:t xml:space="preserve">  Count values must be positive integers.</w:t>
      </w:r>
    </w:p>
    <w:p>
      <w:r>
        <w:t xml:space="preserve">  APPEND is a table-data mutation command; do not classify it as read-only.</w:t>
      </w:r>
    </w:p>
    <w:p>
      <w:pPr>
        <w:pStyle w:val="Heading3"/>
      </w:pPr>
      <w:r>
        <w:t>Related</w:t>
      </w:r>
    </w:p>
    <w:p>
      <w:r>
        <w:t>APPEND_BLANK</w:t>
      </w:r>
    </w:p>
    <w:p>
      <w:r>
        <w:t xml:space="preserve">  REPLACE</w:t>
      </w:r>
    </w:p>
    <w:p>
      <w:r>
        <w:t xml:space="preserve">  MULTIREP</w:t>
      </w:r>
    </w:p>
    <w:p>
      <w:r>
        <w:t xml:space="preserve">  TABLE</w:t>
      </w:r>
    </w:p>
    <w:p>
      <w:r>
        <w:t xml:space="preserve">  COMMIT</w:t>
      </w:r>
    </w:p>
    <w:p>
      <w:pPr>
        <w:pStyle w:val="Heading2"/>
      </w:pPr>
      <w:r>
        <w:t>APPEND_BLANK</w:t>
      </w:r>
    </w:p>
    <w:p>
      <w:r>
        <w:t xml:space="preserve">Source: src/cli/cmd_append_blank.cpp  </w:t>
      </w:r>
    </w:p>
    <w:p>
      <w:r>
        <w:t xml:space="preserve">Owner: DOT|APPEND_BLANK  </w:t>
      </w:r>
    </w:p>
    <w:p>
      <w:r>
        <w:t xml:space="preserve">Category: data  </w:t>
      </w:r>
    </w:p>
    <w:p>
      <w:r>
        <w:t xml:space="preserve">Status: supported  </w:t>
      </w:r>
    </w:p>
    <w:p>
      <w:r>
        <w:t xml:space="preserve">Effect: mutate  </w:t>
      </w:r>
    </w:p>
    <w:p>
      <w:r>
        <w:t xml:space="preserve">Mutates: table-data index memo record-pointer  </w:t>
      </w:r>
    </w:p>
    <w:p>
      <w:r>
        <w:t xml:space="preserve">Usage access: APPEND_BLANK USAGE  </w:t>
      </w:r>
    </w:p>
    <w:p>
      <w:pPr>
        <w:pStyle w:val="Heading3"/>
      </w:pPr>
      <w:r>
        <w:t>Purpose</w:t>
      </w:r>
    </w:p>
    <w:p>
      <w:r>
        <w:t>Append one blank record using the shared append support path so APPEND</w:t>
      </w:r>
    </w:p>
    <w:p>
      <w:r>
        <w:t xml:space="preserve">  and APPEND BLANK behavior stay aligned.</w:t>
      </w:r>
    </w:p>
    <w:p>
      <w:pPr>
        <w:pStyle w:val="Heading3"/>
      </w:pPr>
      <w:r>
        <w:t>Usage</w:t>
      </w:r>
    </w:p>
    <w:p>
      <w:r>
        <w:t>APPEND_BLANK USAGE</w:t>
      </w:r>
    </w:p>
    <w:p>
      <w:r>
        <w:t xml:space="preserve">  APPEND_BLANK</w:t>
      </w:r>
    </w:p>
    <w:p>
      <w:r>
        <w:t xml:space="preserve">  APPEND BLANK</w:t>
      </w:r>
    </w:p>
    <w:p>
      <w:pPr>
        <w:pStyle w:val="Heading3"/>
      </w:pPr>
      <w:r>
        <w:t>Notes</w:t>
      </w:r>
    </w:p>
    <w:p>
      <w:r>
        <w:t>APPEND_BLANK with no arguments appends one blank record.</w:t>
      </w:r>
    </w:p>
    <w:p>
      <w:r>
        <w:t xml:space="preserve">  APPEND BLANK is the friendly command spelling when routed by the dispatcher.</w:t>
      </w:r>
    </w:p>
    <w:p>
      <w:r>
        <w:t xml:space="preserve">  The implementation delegates to dottalk_append_blank_core.</w:t>
      </w:r>
    </w:p>
    <w:p>
      <w:r>
        <w:t xml:space="preserve">  APPEND_BLANK is a table-data mutation command; do not classify it as read-only.</w:t>
      </w:r>
    </w:p>
    <w:p>
      <w:pPr>
        <w:pStyle w:val="Heading3"/>
      </w:pPr>
      <w:r>
        <w:t>Related</w:t>
      </w:r>
    </w:p>
    <w:p>
      <w:r>
        <w:t>APPEND</w:t>
      </w:r>
    </w:p>
    <w:p>
      <w:r>
        <w:t xml:space="preserve">  REPLACE</w:t>
      </w:r>
    </w:p>
    <w:p>
      <w:r>
        <w:t xml:space="preserve">  TABLE</w:t>
      </w:r>
    </w:p>
    <w:p>
      <w:r>
        <w:t xml:space="preserve">  COMMIT</w:t>
      </w:r>
    </w:p>
    <w:p>
      <w:pPr>
        <w:pStyle w:val="Heading2"/>
      </w:pPr>
      <w:r>
        <w:t>AREA</w:t>
      </w:r>
    </w:p>
    <w:p>
      <w:r>
        <w:t xml:space="preserve">Source: src/cli/cmd_area.cpp  </w:t>
      </w:r>
    </w:p>
    <w:p>
      <w:r>
        <w:t xml:space="preserve">Owner: DOT|AREA  </w:t>
      </w:r>
    </w:p>
    <w:p>
      <w:r>
        <w:t xml:space="preserve">Category: workspace  </w:t>
      </w:r>
    </w:p>
    <w:p>
      <w:r>
        <w:t xml:space="preserve">Status: supported  </w:t>
      </w:r>
    </w:p>
    <w:p>
      <w:r>
        <w:t xml:space="preserve">Effect: report  </w:t>
      </w:r>
    </w:p>
    <w:p>
      <w:r>
        <w:t xml:space="preserve">Mutates: no  </w:t>
      </w:r>
    </w:p>
    <w:p>
      <w:r>
        <w:t xml:space="preserve">Usage access: AREA USAGE  </w:t>
      </w:r>
    </w:p>
    <w:p>
      <w:pPr>
        <w:pStyle w:val="Heading3"/>
      </w:pPr>
      <w:r>
        <w:t>Purpose</w:t>
      </w:r>
    </w:p>
    <w:p>
      <w:r>
        <w:t>Report the current work-area slot and current area file/session state.</w:t>
      </w:r>
    </w:p>
    <w:p>
      <w:pPr>
        <w:pStyle w:val="Heading3"/>
      </w:pPr>
      <w:r>
        <w:t>Usage</w:t>
      </w:r>
    </w:p>
    <w:p>
      <w:r>
        <w:t>AREA</w:t>
      </w:r>
    </w:p>
    <w:p>
      <w:r>
        <w:t xml:space="preserve">  AREA USAGE</w:t>
      </w:r>
    </w:p>
    <w:p>
      <w:pPr>
        <w:pStyle w:val="Heading3"/>
      </w:pPr>
      <w:r>
        <w:t>Notes</w:t>
      </w:r>
    </w:p>
    <w:p>
      <w:r>
        <w:t>AREA with no arguments reports the current work-area number, open file,</w:t>
      </w:r>
    </w:p>
    <w:p>
      <w:r>
        <w:t xml:space="preserve">  record count, current record, DBF flavor, runtime kind, logical name,</w:t>
      </w:r>
    </w:p>
    <w:p>
      <w:r>
        <w:t xml:space="preserve">  absolute path, and active order/index line.</w:t>
      </w:r>
    </w:p>
    <w:p>
      <w:r>
        <w:t xml:space="preserve">  AREA is read-only; it reports current area state and does not mutate table data.</w:t>
      </w:r>
    </w:p>
    <w:p>
      <w:pPr>
        <w:pStyle w:val="Heading3"/>
      </w:pPr>
      <w:r>
        <w:t>Related</w:t>
      </w:r>
    </w:p>
    <w:p>
      <w:r>
        <w:t>DBAREA</w:t>
      </w:r>
    </w:p>
    <w:p>
      <w:r>
        <w:t xml:space="preserve">  DBAREAS</w:t>
      </w:r>
    </w:p>
    <w:p>
      <w:r>
        <w:t xml:space="preserve">  STATUS</w:t>
      </w:r>
    </w:p>
    <w:p>
      <w:r>
        <w:t xml:space="preserve">  STRUCT</w:t>
      </w:r>
    </w:p>
    <w:p>
      <w:r>
        <w:t xml:space="preserve">  WORKSPACE</w:t>
      </w:r>
    </w:p>
    <w:p>
      <w:pPr>
        <w:pStyle w:val="Heading2"/>
      </w:pPr>
      <w:r>
        <w:t>ASCEND</w:t>
      </w:r>
    </w:p>
    <w:p>
      <w:r>
        <w:t xml:space="preserve">Source: src/cli/cmd_ascend.cpp  </w:t>
      </w:r>
    </w:p>
    <w:p>
      <w:r>
        <w:t xml:space="preserve">Owner: DOT|ASCEND  </w:t>
      </w:r>
    </w:p>
    <w:p>
      <w:r>
        <w:t xml:space="preserve">Category: index  </w:t>
      </w:r>
    </w:p>
    <w:p>
      <w:r>
        <w:t xml:space="preserve">Status: supported  </w:t>
      </w:r>
    </w:p>
    <w:p>
      <w:r>
        <w:t xml:space="preserve">Effect: configure  </w:t>
      </w:r>
    </w:p>
    <w:p>
      <w:r>
        <w:t xml:space="preserve">Mutates: order-state  </w:t>
      </w:r>
    </w:p>
    <w:p>
      <w:r>
        <w:t xml:space="preserve">Usage access: ASCEND USAGE  </w:t>
      </w:r>
    </w:p>
    <w:p>
      <w:pPr>
        <w:pStyle w:val="Heading3"/>
      </w:pPr>
      <w:r>
        <w:t>Purpose</w:t>
      </w:r>
    </w:p>
    <w:p>
      <w:r>
        <w:t>Set the active order/tag direction to ascending for the current work area.</w:t>
      </w:r>
    </w:p>
    <w:p>
      <w:pPr>
        <w:pStyle w:val="Heading3"/>
      </w:pPr>
      <w:r>
        <w:t>Usage</w:t>
      </w:r>
    </w:p>
    <w:p>
      <w:r>
        <w:t>ASCEND</w:t>
      </w:r>
    </w:p>
    <w:p>
      <w:r>
        <w:t xml:space="preserve">  ASCEND USAGE</w:t>
      </w:r>
    </w:p>
    <w:p>
      <w:pPr>
        <w:pStyle w:val="Heading3"/>
      </w:pPr>
      <w:r>
        <w:t>Notes</w:t>
      </w:r>
    </w:p>
    <w:p>
      <w:r>
        <w:t>ASCEND requires an active order except for ASCEND USAGE.</w:t>
      </w:r>
    </w:p>
    <w:p>
      <w:r>
        <w:t xml:space="preserve">  ASCEND with no arguments mutates order direction to ascending.</w:t>
      </w:r>
    </w:p>
    <w:p>
      <w:r>
        <w:t xml:space="preserve">  ASCEND does not mutate table records or rebuild indexes.</w:t>
      </w:r>
    </w:p>
    <w:p>
      <w:pPr>
        <w:pStyle w:val="Heading3"/>
      </w:pPr>
      <w:r>
        <w:t>Related</w:t>
      </w:r>
    </w:p>
    <w:p>
      <w:r>
        <w:t>DESCEND</w:t>
      </w:r>
    </w:p>
    <w:p>
      <w:r>
        <w:t xml:space="preserve">  SET ORDER</w:t>
      </w:r>
    </w:p>
    <w:p>
      <w:r>
        <w:t xml:space="preserve">  ORDER</w:t>
      </w:r>
    </w:p>
    <w:p>
      <w:pPr>
        <w:pStyle w:val="Heading2"/>
      </w:pPr>
      <w:r>
        <w:t>ASCEND/DESCEND</w:t>
      </w:r>
    </w:p>
    <w:p>
      <w:r>
        <w:t xml:space="preserve">Source: src/cli/cmd_order.cpp  </w:t>
      </w:r>
    </w:p>
    <w:p>
      <w:r>
        <w:t xml:space="preserve">Owner: DOT|ORDER_IMPL  </w:t>
      </w:r>
    </w:p>
    <w:p>
      <w:r>
        <w:t xml:space="preserve">Category: order-helper  </w:t>
      </w:r>
    </w:p>
    <w:p>
      <w:r>
        <w:t xml:space="preserve">Status: implementation-helper  </w:t>
      </w:r>
    </w:p>
    <w:p>
      <w:r>
        <w:t xml:space="preserve">Effect: order-support  </w:t>
      </w:r>
    </w:p>
    <w:p>
      <w:r>
        <w:t xml:space="preserve">Mutates: none-here  </w:t>
      </w:r>
    </w:p>
    <w:p>
      <w:r>
        <w:t xml:space="preserve">Usage access: owned-by ASCEND/DESCEND command handlers  </w:t>
      </w:r>
    </w:p>
    <w:p>
      <w:pPr>
        <w:pStyle w:val="Heading3"/>
      </w:pPr>
      <w:r>
        <w:t>Purpose</w:t>
      </w:r>
    </w:p>
    <w:p>
      <w:r>
        <w:t>Consolidated order helper/prototype translation unit for ASCEND/DESCEND.</w:t>
      </w:r>
    </w:p>
    <w:p>
      <w:pPr>
        <w:pStyle w:val="Heading3"/>
      </w:pPr>
      <w:r>
        <w:t>Usage</w:t>
      </w:r>
    </w:p>
    <w:p>
      <w:r>
        <w:t>This file is not the SET ORDER or ORDER command owner.</w:t>
      </w:r>
    </w:p>
    <w:p>
      <w:r>
        <w:t xml:space="preserve">  User-visible ASCEND/DESCEND usage is owned by their command handlers.</w:t>
      </w:r>
    </w:p>
    <w:p>
      <w:pPr>
        <w:pStyle w:val="Heading3"/>
      </w:pPr>
      <w:r>
        <w:t>Notes</w:t>
      </w:r>
    </w:p>
    <w:p>
      <w:r>
        <w:t>The file is intentionally low-behavior in this source drop.</w:t>
      </w:r>
    </w:p>
    <w:p>
      <w:r>
        <w:t xml:space="preserve">  Keep active-order mutation in the actual command handlers/order_state layer.</w:t>
      </w:r>
    </w:p>
    <w:p>
      <w:pPr>
        <w:pStyle w:val="Heading2"/>
      </w:pPr>
      <w:r>
        <w:t>ASCII</w:t>
      </w:r>
    </w:p>
    <w:p>
      <w:r>
        <w:t xml:space="preserve">Source: src/edu/edu_ascii_table.cpp  </w:t>
      </w:r>
    </w:p>
    <w:p>
      <w:r>
        <w:t xml:space="preserve">Owner: EDU|ASCII  </w:t>
      </w:r>
    </w:p>
    <w:p>
      <w:r>
        <w:t xml:space="preserve">Category: education-reference  </w:t>
      </w:r>
    </w:p>
    <w:p>
      <w:r>
        <w:t xml:space="preserve">Status: supported  </w:t>
      </w:r>
    </w:p>
    <w:p>
      <w:r>
        <w:t xml:space="preserve">Effect: report  </w:t>
      </w:r>
    </w:p>
    <w:p>
      <w:r>
        <w:t xml:space="preserve">Mutates: none  </w:t>
      </w:r>
    </w:p>
    <w:p>
      <w:r>
        <w:t xml:space="preserve">Usage access: ASCII USAGE  </w:t>
      </w:r>
    </w:p>
    <w:p>
      <w:pPr>
        <w:pStyle w:val="Heading3"/>
      </w:pPr>
      <w:r>
        <w:t>Purpose</w:t>
      </w:r>
    </w:p>
    <w:p>
      <w:r>
        <w:t>Print ASCII/extended ASCII reference tables and selected ranges.</w:t>
      </w:r>
    </w:p>
    <w:p>
      <w:pPr>
        <w:pStyle w:val="Heading3"/>
      </w:pPr>
      <w:r>
        <w:t>Usage</w:t>
      </w:r>
    </w:p>
    <w:p>
      <w:r>
        <w:t>ASCII USAGE</w:t>
      </w:r>
    </w:p>
    <w:p>
      <w:r>
        <w:t xml:space="preserve">  ASCII</w:t>
      </w:r>
    </w:p>
    <w:p>
      <w:r>
        <w:t xml:space="preserve">  ASCII ASCII</w:t>
      </w:r>
    </w:p>
    <w:p>
      <w:r>
        <w:t xml:space="preserve">  ASCII EXT</w:t>
      </w:r>
    </w:p>
    <w:p>
      <w:r>
        <w:t xml:space="preserve">  ASCII PRINT</w:t>
      </w:r>
    </w:p>
    <w:p>
      <w:r>
        <w:t xml:space="preserve">  ASCII CTRL</w:t>
      </w:r>
    </w:p>
    <w:p>
      <w:r>
        <w:t xml:space="preserve">  ASCII RANGE &lt;lo&gt; &lt;hi&gt;</w:t>
      </w:r>
    </w:p>
    <w:p>
      <w:pPr>
        <w:pStyle w:val="Heading3"/>
      </w:pPr>
      <w:r>
        <w:t>Examples</w:t>
      </w:r>
    </w:p>
    <w:p>
      <w:r>
        <w:t>ASCII</w:t>
      </w:r>
    </w:p>
    <w:p>
      <w:r>
        <w:t xml:space="preserve">  ASCII ASCII</w:t>
      </w:r>
    </w:p>
    <w:p>
      <w:r>
        <w:t xml:space="preserve">  ASCII EXT</w:t>
      </w:r>
    </w:p>
    <w:p>
      <w:r>
        <w:t xml:space="preserve">  ASCII RANGE 32 126</w:t>
      </w:r>
    </w:p>
    <w:p>
      <w:pPr>
        <w:pStyle w:val="Heading3"/>
      </w:pPr>
      <w:r>
        <w:t>Notes</w:t>
      </w:r>
    </w:p>
    <w:p>
      <w:r>
        <w:t>ASCII USAGE/HELP/? prints usage and does not emit table rows.</w:t>
      </w:r>
    </w:p>
    <w:p>
      <w:r>
        <w:t xml:space="preserve">  This command is read-only reference output.</w:t>
      </w:r>
    </w:p>
    <w:p>
      <w:r>
        <w:t xml:space="preserve">  The older source comment name "EDU ASCII TABLE" is not the registered</w:t>
      </w:r>
    </w:p>
    <w:p>
      <w:r>
        <w:t xml:space="preserve">  command surface in the current runtime.</w:t>
      </w:r>
    </w:p>
    <w:p>
      <w:pPr>
        <w:pStyle w:val="Heading2"/>
      </w:pPr>
      <w:r>
        <w:t>AUTODBF</w:t>
      </w:r>
    </w:p>
    <w:p>
      <w:r>
        <w:t xml:space="preserve">Source: src/cli/cmd_autodbf.cpp  </w:t>
      </w:r>
    </w:p>
    <w:p>
      <w:r>
        <w:t xml:space="preserve">Owner: DOT|AUTODBF  </w:t>
      </w:r>
    </w:p>
    <w:p>
      <w:r>
        <w:t xml:space="preserve">Category: io schema  </w:t>
      </w:r>
    </w:p>
    <w:p>
      <w:r>
        <w:t xml:space="preserve">Status: experimental  </w:t>
      </w:r>
    </w:p>
    <w:p>
      <w:r>
        <w:t xml:space="preserve">Effect: create import  </w:t>
      </w:r>
    </w:p>
    <w:p>
      <w:r>
        <w:t xml:space="preserve">Mutates: filesystem session schema table-data cursor  </w:t>
      </w:r>
    </w:p>
    <w:p>
      <w:r>
        <w:t xml:space="preserve">Usage access: AUTODBF USAGE  </w:t>
      </w:r>
    </w:p>
    <w:p>
      <w:pPr>
        <w:pStyle w:val="Heading3"/>
      </w:pPr>
      <w:r>
        <w:t>Purpose</w:t>
      </w:r>
    </w:p>
    <w:p>
      <w:r>
        <w:t>Create an X64 DBF from a CSV file and import the CSV rows into the newly</w:t>
      </w:r>
    </w:p>
    <w:p>
      <w:r>
        <w:t xml:space="preserve">  created table.  CSV headers may become field names; when there is no header,</w:t>
      </w:r>
    </w:p>
    <w:p>
      <w:r>
        <w:t xml:space="preserve">  deterministic FIELDnnn names are generated.</w:t>
      </w:r>
    </w:p>
    <w:p>
      <w:pPr>
        <w:pStyle w:val="Heading3"/>
      </w:pPr>
      <w:r>
        <w:t>Usage</w:t>
      </w:r>
    </w:p>
    <w:p>
      <w:r>
        <w:t>AUTODBF USAGE</w:t>
      </w:r>
    </w:p>
    <w:p>
      <w:r>
        <w:t xml:space="preserve">  AUTODBF &lt;table&gt; FROM &lt;csvfile&gt;</w:t>
      </w:r>
    </w:p>
    <w:p>
      <w:r>
        <w:t xml:space="preserve">  AUTODBF X64 &lt;table&gt; FROM &lt;csvfile&gt;</w:t>
      </w:r>
    </w:p>
    <w:p>
      <w:r>
        <w:t xml:space="preserve">  AUTODBF &lt;table&gt; FROM &lt;csvfile&gt; HEADER</w:t>
      </w:r>
    </w:p>
    <w:p>
      <w:r>
        <w:t xml:space="preserve">  AUTODBF &lt;table&gt; FROM &lt;csvfile&gt; NOHEADER</w:t>
      </w:r>
    </w:p>
    <w:p>
      <w:r>
        <w:t xml:space="preserve">  AUTODBF &lt;table&gt; FROM &lt;csvfile&gt; AUTO</w:t>
      </w:r>
    </w:p>
    <w:p>
      <w:r>
        <w:t xml:space="preserve">  AUTODBF &lt;table&gt; FROM &lt;csvfile&gt; TEXTONLY</w:t>
      </w:r>
    </w:p>
    <w:p>
      <w:r>
        <w:t xml:space="preserve">  AUTODBF &lt;table&gt; FROM &lt;csvfile&gt; INFER</w:t>
      </w:r>
    </w:p>
    <w:p>
      <w:r>
        <w:t xml:space="preserve">  AUTODBF &lt;table&gt; FROM &lt;csvfile&gt; OVERWRITE</w:t>
      </w:r>
    </w:p>
    <w:p>
      <w:pPr>
        <w:pStyle w:val="Heading3"/>
      </w:pPr>
      <w:r>
        <w:t>Notes</w:t>
      </w:r>
    </w:p>
    <w:p>
      <w:r>
        <w:t>AUTODBF defaults to X64, AUTO header detection, INFER types, comma CSV.</w:t>
      </w:r>
    </w:p>
    <w:p>
      <w:r>
        <w:t xml:space="preserve">  AUTO is conservative: it chooses HEADER only when the first row looks like</w:t>
      </w:r>
    </w:p>
    <w:p>
      <w:r>
        <w:t xml:space="preserve">  names and later data strongly indicates typed data.  Use HEADER or NOHEADER</w:t>
      </w:r>
    </w:p>
    <w:p>
      <w:r>
        <w:t xml:space="preserve">  to remove ambiguity.</w:t>
      </w:r>
    </w:p>
    <w:p>
      <w:r>
        <w:t xml:space="preserve">  Field names are normalized to command-safe x64 logical names, uniquified,</w:t>
      </w:r>
    </w:p>
    <w:p>
      <w:r>
        <w:t xml:space="preserve">  capped to the current x64 logical-name limit, and then passed through the</w:t>
      </w:r>
    </w:p>
    <w:p>
      <w:r>
        <w:t xml:space="preserve">  existing x64 descriptor fallback/mangling policy.</w:t>
      </w:r>
    </w:p>
    <w:p>
      <w:r>
        <w:t xml:space="preserve">  Long text is not auto-promoted to M yet; values must fit current fixed-field</w:t>
      </w:r>
    </w:p>
    <w:p>
      <w:r>
        <w:t xml:space="preserve">  x64base limits.  This avoids silently writing memo object id 0.</w:t>
      </w:r>
    </w:p>
    <w:p>
      <w:r>
        <w:t xml:space="preserve">  Existing target DBFs are not overwritten unless OVERWRITE is supplied.</w:t>
      </w:r>
    </w:p>
    <w:p>
      <w:pPr>
        <w:pStyle w:val="Heading3"/>
      </w:pPr>
      <w:r>
        <w:t>Related</w:t>
      </w:r>
    </w:p>
    <w:p>
      <w:r>
        <w:t>CREATE</w:t>
      </w:r>
    </w:p>
    <w:p>
      <w:r>
        <w:t xml:space="preserve">  IMPORT</w:t>
      </w:r>
    </w:p>
    <w:p>
      <w:r>
        <w:t xml:space="preserve">  IMPORTSQL</w:t>
      </w:r>
    </w:p>
    <w:p>
      <w:r>
        <w:t xml:space="preserve">  SETPATH</w:t>
      </w:r>
    </w:p>
    <w:p>
      <w:r>
        <w:t xml:space="preserve">  STRUCT</w:t>
      </w:r>
    </w:p>
    <w:p>
      <w:pPr>
        <w:pStyle w:val="Heading2"/>
      </w:pPr>
      <w:r>
        <w:t>BANG</w:t>
      </w:r>
    </w:p>
    <w:p>
      <w:r>
        <w:t xml:space="preserve">Source: src/cli/cmd_bang.cpp  </w:t>
      </w:r>
    </w:p>
    <w:p>
      <w:r>
        <w:t xml:space="preserve">Owner: DOT|BANG  </w:t>
      </w:r>
    </w:p>
    <w:p>
      <w:r>
        <w:t xml:space="preserve">Category: shell  </w:t>
      </w:r>
    </w:p>
    <w:p>
      <w:r>
        <w:t xml:space="preserve">Status: supported  </w:t>
      </w:r>
    </w:p>
    <w:p>
      <w:r>
        <w:t xml:space="preserve">Effect: execute  </w:t>
      </w:r>
    </w:p>
    <w:p>
      <w:r>
        <w:t xml:space="preserve">Mutates: external-process delegates-command-effects  </w:t>
      </w:r>
    </w:p>
    <w:p>
      <w:r>
        <w:t xml:space="preserve">Usage access: BANG USAGE  </w:t>
      </w:r>
    </w:p>
    <w:p>
      <w:pPr>
        <w:pStyle w:val="Heading3"/>
      </w:pPr>
      <w:r>
        <w:t>Purpose</w:t>
      </w:r>
    </w:p>
    <w:p>
      <w:r>
        <w:t>Launch the host operating-system shell or execute a host shell command.</w:t>
      </w:r>
    </w:p>
    <w:p>
      <w:pPr>
        <w:pStyle w:val="Heading3"/>
      </w:pPr>
      <w:r>
        <w:t>Usage</w:t>
      </w:r>
    </w:p>
    <w:p>
      <w:r>
        <w:t>BANG</w:t>
      </w:r>
    </w:p>
    <w:p>
      <w:r>
        <w:t xml:space="preserve">  BANG USAGE</w:t>
      </w:r>
    </w:p>
    <w:p>
      <w:r>
        <w:t xml:space="preserve">  BANG &lt;command&gt;</w:t>
      </w:r>
    </w:p>
    <w:p>
      <w:r>
        <w:t xml:space="preserve">  !</w:t>
      </w:r>
    </w:p>
    <w:p>
      <w:r>
        <w:t xml:space="preserve">  ! &lt;command&gt;</w:t>
      </w:r>
    </w:p>
    <w:p>
      <w:pPr>
        <w:pStyle w:val="Heading3"/>
      </w:pPr>
      <w:r>
        <w:t>Notes</w:t>
      </w:r>
    </w:p>
    <w:p>
      <w:r>
        <w:t>BANG with no arguments opens an interactive host shell.</w:t>
      </w:r>
    </w:p>
    <w:p>
      <w:r>
        <w:t xml:space="preserve">  BANG &lt;command&gt; executes the host command and returns.</w:t>
      </w:r>
    </w:p>
    <w:p>
      <w:r>
        <w:t xml:space="preserve">  The exclamation mark is a shell shortcut/alias for BANG.</w:t>
      </w:r>
    </w:p>
    <w:p>
      <w:r>
        <w:t xml:space="preserve">  BANG USAGE prints usage and does not launch a shell.</w:t>
      </w:r>
    </w:p>
    <w:p>
      <w:r>
        <w:t xml:space="preserve">  BANG may indirectly read, write, delete, or execute anything the host shell command does.</w:t>
      </w:r>
    </w:p>
    <w:p>
      <w:pPr>
        <w:pStyle w:val="Heading3"/>
      </w:pPr>
      <w:r>
        <w:t>Related</w:t>
      </w:r>
    </w:p>
    <w:p>
      <w:r>
        <w:t>PSHELL</w:t>
      </w:r>
    </w:p>
    <w:p>
      <w:r>
        <w:t xml:space="preserve">  SFTP</w:t>
      </w:r>
    </w:p>
    <w:p>
      <w:r>
        <w:t xml:space="preserve">  WEB</w:t>
      </w:r>
    </w:p>
    <w:p>
      <w:pPr>
        <w:pStyle w:val="Heading2"/>
      </w:pPr>
      <w:r>
        <w:t>BBOX</w:t>
      </w:r>
    </w:p>
    <w:p>
      <w:r>
        <w:t xml:space="preserve">Source: src/cli/cmd_bbox.cpp  </w:t>
      </w:r>
    </w:p>
    <w:p>
      <w:r>
        <w:t xml:space="preserve">Owner: DOT|BBOX  </w:t>
      </w:r>
    </w:p>
    <w:p>
      <w:r>
        <w:t xml:space="preserve">Category: education  </w:t>
      </w:r>
    </w:p>
    <w:p>
      <w:r>
        <w:t xml:space="preserve">Status: experimental  </w:t>
      </w:r>
    </w:p>
    <w:p>
      <w:r>
        <w:t xml:space="preserve">Effect: report  </w:t>
      </w:r>
    </w:p>
    <w:p>
      <w:r>
        <w:t xml:space="preserve">Mutates: none  </w:t>
      </w:r>
    </w:p>
    <w:p>
      <w:r>
        <w:t xml:space="preserve">Usage access: no-open-table  </w:t>
      </w:r>
    </w:p>
    <w:p>
      <w:pPr>
        <w:pStyle w:val="Heading3"/>
      </w:pPr>
      <w:r>
        <w:t>Purpose</w:t>
      </w:r>
    </w:p>
    <w:p>
      <w:r>
        <w:t>Teach and inspect the Blackbox model: data enters a processing system and information comes out.</w:t>
      </w:r>
    </w:p>
    <w:p>
      <w:pPr>
        <w:pStyle w:val="Heading3"/>
      </w:pPr>
      <w:r>
        <w:t>Usage</w:t>
      </w:r>
    </w:p>
    <w:p>
      <w:r>
        <w:t>BBOX</w:t>
      </w:r>
    </w:p>
    <w:p>
      <w:r>
        <w:t>BBOX USAGE</w:t>
      </w:r>
    </w:p>
    <w:p>
      <w:r>
        <w:t>BBOX MODEL</w:t>
      </w:r>
    </w:p>
    <w:p>
      <w:r>
        <w:t>BBOX LANES</w:t>
      </w:r>
    </w:p>
    <w:p>
      <w:r>
        <w:t>BBOX COMMENTS</w:t>
      </w:r>
    </w:p>
    <w:p>
      <w:r>
        <w:t>BBOX HELP</w:t>
      </w:r>
    </w:p>
    <w:p>
      <w:r>
        <w:t>BBOX MANUALGEN</w:t>
      </w:r>
    </w:p>
    <w:p>
      <w:r>
        <w:t>BBOX DATADICT</w:t>
      </w:r>
    </w:p>
    <w:p>
      <w:r>
        <w:t>BBOX MESSAGING</w:t>
      </w:r>
    </w:p>
    <w:p>
      <w:r>
        <w:t>BBOX MAINT</w:t>
      </w:r>
    </w:p>
    <w:p>
      <w:pPr>
        <w:pStyle w:val="Heading2"/>
      </w:pPr>
      <w:r>
        <w:t>BELL</w:t>
      </w:r>
    </w:p>
    <w:p>
      <w:r>
        <w:t xml:space="preserve">Source: src/cli/cmd_bell.cpp  </w:t>
      </w:r>
    </w:p>
    <w:p>
      <w:r>
        <w:t xml:space="preserve">Owner: DOT|BELL  </w:t>
      </w:r>
    </w:p>
    <w:p>
      <w:r>
        <w:t xml:space="preserve">Category: ui  </w:t>
      </w:r>
    </w:p>
    <w:p>
      <w:r>
        <w:t xml:space="preserve">Status: supported  </w:t>
      </w:r>
    </w:p>
    <w:p>
      <w:r>
        <w:t xml:space="preserve">Effect: configure  </w:t>
      </w:r>
    </w:p>
    <w:p>
      <w:r>
        <w:t xml:space="preserve">Mutates: bell-setting audible-notification  </w:t>
      </w:r>
    </w:p>
    <w:p>
      <w:r>
        <w:t xml:space="preserve">Usage access: BELL USAGE  </w:t>
      </w:r>
    </w:p>
    <w:p>
      <w:pPr>
        <w:pStyle w:val="Heading3"/>
      </w:pPr>
      <w:r>
        <w:t>Purpose</w:t>
      </w:r>
    </w:p>
    <w:p>
      <w:r>
        <w:t>Ring the bell when enabled, or turn the shell bell setting on or off.</w:t>
      </w:r>
    </w:p>
    <w:p>
      <w:pPr>
        <w:pStyle w:val="Heading3"/>
      </w:pPr>
      <w:r>
        <w:t>Usage</w:t>
      </w:r>
    </w:p>
    <w:p>
      <w:r>
        <w:t>BELL</w:t>
      </w:r>
    </w:p>
    <w:p>
      <w:r>
        <w:t xml:space="preserve">  BELL USAGE</w:t>
      </w:r>
    </w:p>
    <w:p>
      <w:r>
        <w:t xml:space="preserve">  BELL ON</w:t>
      </w:r>
    </w:p>
    <w:p>
      <w:r>
        <w:t xml:space="preserve">  BELL OFF</w:t>
      </w:r>
    </w:p>
    <w:p>
      <w:pPr>
        <w:pStyle w:val="Heading3"/>
      </w:pPr>
      <w:r>
        <w:t>Notes</w:t>
      </w:r>
    </w:p>
    <w:p>
      <w:r>
        <w:t>BELL with no arguments rings the bell when bell is ON; otherwise reports that bell is OFF.</w:t>
      </w:r>
    </w:p>
    <w:p>
      <w:r>
        <w:t xml:space="preserve">  BELL ON enables the bell and rings it once.</w:t>
      </w:r>
    </w:p>
    <w:p>
      <w:r>
        <w:t xml:space="preserve">  BELL OFF disables the bell.</w:t>
      </w:r>
    </w:p>
    <w:p>
      <w:r>
        <w:t xml:space="preserve">  BELL mutates only the shell bell setting and audible notification state.</w:t>
      </w:r>
    </w:p>
    <w:p>
      <w:pPr>
        <w:pStyle w:val="Heading3"/>
      </w:pPr>
      <w:r>
        <w:t>Related</w:t>
      </w:r>
    </w:p>
    <w:p>
      <w:r>
        <w:t>SET</w:t>
      </w:r>
    </w:p>
    <w:p>
      <w:r>
        <w:t xml:space="preserve">  COLOR</w:t>
      </w:r>
    </w:p>
    <w:p>
      <w:pPr>
        <w:pStyle w:val="Heading2"/>
      </w:pPr>
      <w:r>
        <w:t>BETA</w:t>
      </w:r>
    </w:p>
    <w:p>
      <w:r>
        <w:t xml:space="preserve">Source: src/cli/cmd_beta.cpp  </w:t>
      </w:r>
    </w:p>
    <w:p>
      <w:r>
        <w:t xml:space="preserve">Owner: DOT|BETA  </w:t>
      </w:r>
    </w:p>
    <w:p>
      <w:r>
        <w:t xml:space="preserve">Category: help  </w:t>
      </w:r>
    </w:p>
    <w:p>
      <w:r>
        <w:t xml:space="preserve">Status: supported  </w:t>
      </w:r>
    </w:p>
    <w:p>
      <w:r>
        <w:t xml:space="preserve">Effect: mixed  </w:t>
      </w:r>
    </w:p>
    <w:p>
      <w:r>
        <w:t xml:space="preserve">Mutates: beta-status-overrides filesystem  </w:t>
      </w:r>
    </w:p>
    <w:p>
      <w:r>
        <w:t xml:space="preserve">Usage access: BETA USAGE  </w:t>
      </w:r>
    </w:p>
    <w:p>
      <w:pPr>
        <w:pStyle w:val="Heading3"/>
      </w:pPr>
      <w:r>
        <w:t>Purpose</w:t>
      </w:r>
    </w:p>
    <w:p>
      <w:r>
        <w:t>List, inspect, and update beta tracking items and runtime beta-status overrides.</w:t>
      </w:r>
    </w:p>
    <w:p>
      <w:pPr>
        <w:pStyle w:val="Heading3"/>
      </w:pPr>
      <w:r>
        <w:t>Usage</w:t>
      </w:r>
    </w:p>
    <w:p>
      <w:r>
        <w:t>BETA</w:t>
      </w:r>
    </w:p>
    <w:p>
      <w:r>
        <w:t xml:space="preserve">  BETA USAGE</w:t>
      </w:r>
    </w:p>
    <w:p>
      <w:r>
        <w:t xml:space="preserve">  BETA LIST</w:t>
      </w:r>
    </w:p>
    <w:p>
      <w:r>
        <w:t xml:space="preserve">  BETA &lt;id&gt;</w:t>
      </w:r>
    </w:p>
    <w:p>
      <w:r>
        <w:t xml:space="preserve">  BETA DONE &lt;id&gt;</w:t>
      </w:r>
    </w:p>
    <w:p>
      <w:r>
        <w:t xml:space="preserve">  BETA DEFER &lt;id&gt;</w:t>
      </w:r>
    </w:p>
    <w:p>
      <w:r>
        <w:t xml:space="preserve">  BETA DEFERRED &lt;id&gt;</w:t>
      </w:r>
    </w:p>
    <w:p>
      <w:r>
        <w:t xml:space="preserve">  BETA OPEN &lt;id&gt;</w:t>
      </w:r>
    </w:p>
    <w:p>
      <w:r>
        <w:t xml:space="preserve">  BETA CLEAR &lt;id&gt;</w:t>
      </w:r>
    </w:p>
    <w:p>
      <w:r>
        <w:t xml:space="preserve">  BETA CLEAR ALL</w:t>
      </w:r>
    </w:p>
    <w:p>
      <w:r>
        <w:t xml:space="preserve">  BETA SAVE</w:t>
      </w:r>
    </w:p>
    <w:p>
      <w:r>
        <w:t xml:space="preserve">  BETA LOAD</w:t>
      </w:r>
    </w:p>
    <w:p>
      <w:pPr>
        <w:pStyle w:val="Heading3"/>
      </w:pPr>
      <w:r>
        <w:t>Notes</w:t>
      </w:r>
    </w:p>
    <w:p>
      <w:r>
        <w:t>BETA with no arguments lists beta items.</w:t>
      </w:r>
    </w:p>
    <w:p>
      <w:r>
        <w:t xml:space="preserve">  BETA &lt;id&gt; shows a beta item when the id begins with BETA-.</w:t>
      </w:r>
    </w:p>
    <w:p>
      <w:r>
        <w:t xml:space="preserve">  DONE, DEFER, DEFERRED, OPEN, CLEAR, and CLEAR ALL mutate runtime beta status overrides.</w:t>
      </w:r>
    </w:p>
    <w:p>
      <w:r>
        <w:t xml:space="preserve">  SAVE writes beta status overrides to the default status path.</w:t>
      </w:r>
    </w:p>
    <w:p>
      <w:r>
        <w:t xml:space="preserve">  LOAD reads beta status overrides from the default status path.</w:t>
      </w:r>
    </w:p>
    <w:p>
      <w:r>
        <w:t xml:space="preserve">  BETA mutates only beta tracking/status data, not table records.</w:t>
      </w:r>
    </w:p>
    <w:p>
      <w:pPr>
        <w:pStyle w:val="Heading3"/>
      </w:pPr>
      <w:r>
        <w:t>Related</w:t>
      </w:r>
    </w:p>
    <w:p>
      <w:r>
        <w:t>ABOUT</w:t>
      </w:r>
    </w:p>
    <w:p>
      <w:r>
        <w:t xml:space="preserve">  HELP</w:t>
      </w:r>
    </w:p>
    <w:p>
      <w:r>
        <w:t xml:space="preserve">  FOXHELP</w:t>
      </w:r>
    </w:p>
    <w:p>
      <w:pPr>
        <w:pStyle w:val="Heading2"/>
      </w:pPr>
      <w:r>
        <w:t>BOOLEAN</w:t>
      </w:r>
    </w:p>
    <w:p>
      <w:r>
        <w:t xml:space="preserve">Source: src/edu/edu_boolean.cpp  </w:t>
      </w:r>
    </w:p>
    <w:p>
      <w:r>
        <w:t xml:space="preserve">Owner: EDU|BOOLEAN  </w:t>
      </w:r>
    </w:p>
    <w:p>
      <w:r>
        <w:t xml:space="preserve">Category: education-expression  </w:t>
      </w:r>
    </w:p>
    <w:p>
      <w:r>
        <w:t xml:space="preserve">Status: supported  </w:t>
      </w:r>
    </w:p>
    <w:p>
      <w:r>
        <w:t xml:space="preserve">Effect: evaluate-expression  </w:t>
      </w:r>
    </w:p>
    <w:p>
      <w:r>
        <w:t xml:space="preserve">Mutates: none  </w:t>
      </w:r>
    </w:p>
    <w:p>
      <w:r>
        <w:t xml:space="preserve">Usage access: BOOLEAN USAGE  </w:t>
      </w:r>
    </w:p>
    <w:p>
      <w:pPr>
        <w:pStyle w:val="Heading3"/>
      </w:pPr>
      <w:r>
        <w:t>Purpose</w:t>
      </w:r>
    </w:p>
    <w:p>
      <w:r>
        <w:t>Evaluate a boolean expression through xexpr and print .T. or .F.</w:t>
      </w:r>
    </w:p>
    <w:p>
      <w:pPr>
        <w:pStyle w:val="Heading3"/>
      </w:pPr>
      <w:r>
        <w:t>Usage</w:t>
      </w:r>
    </w:p>
    <w:p>
      <w:r>
        <w:t>BOOLEAN USAGE</w:t>
      </w:r>
    </w:p>
    <w:p>
      <w:r>
        <w:t xml:space="preserve">  BOOLEAN &lt;expr&gt;</w:t>
      </w:r>
    </w:p>
    <w:p>
      <w:pPr>
        <w:pStyle w:val="Heading3"/>
      </w:pPr>
      <w:r>
        <w:t>Examples</w:t>
      </w:r>
    </w:p>
    <w:p>
      <w:r>
        <w:t>BOOLEAN 1 = 1</w:t>
      </w:r>
    </w:p>
    <w:p>
      <w:r>
        <w:t xml:space="preserve">  BOOLEAN GPA &gt;= 3.0</w:t>
      </w:r>
    </w:p>
    <w:p>
      <w:pPr>
        <w:pStyle w:val="Heading3"/>
      </w:pPr>
      <w:r>
        <w:t>Notes</w:t>
      </w:r>
    </w:p>
    <w:p>
      <w:r>
        <w:t>BOOLEAN USAGE prints usage before expression evaluation.</w:t>
      </w:r>
    </w:p>
    <w:p>
      <w:r>
        <w:t xml:space="preserve">  When a table is open, field-aware expressions use the current record.</w:t>
      </w:r>
    </w:p>
    <w:p>
      <w:r>
        <w:t xml:space="preserve">  This command does not mutate table data.</w:t>
      </w:r>
    </w:p>
    <w:p>
      <w:pPr>
        <w:pStyle w:val="Heading2"/>
      </w:pPr>
      <w:r>
        <w:t>BOTTOM</w:t>
      </w:r>
    </w:p>
    <w:p>
      <w:r>
        <w:t xml:space="preserve">Source: src/cli/cmd_bottom.cpp  </w:t>
      </w:r>
    </w:p>
    <w:p>
      <w:r>
        <w:t xml:space="preserve">Owner: DOT|BOTTOM  </w:t>
      </w:r>
    </w:p>
    <w:p>
      <w:r>
        <w:t xml:space="preserve">Category: navigation  </w:t>
      </w:r>
    </w:p>
    <w:p>
      <w:r>
        <w:t xml:space="preserve">Status: supported  </w:t>
      </w:r>
    </w:p>
    <w:p>
      <w:r>
        <w:t xml:space="preserve">Effect: navigate  </w:t>
      </w:r>
    </w:p>
    <w:p>
      <w:r>
        <w:t xml:space="preserve">Mutates: cursor  </w:t>
      </w:r>
    </w:p>
    <w:p>
      <w:r>
        <w:t xml:space="preserve">Usage access: BOTTOM USAGE  </w:t>
      </w:r>
    </w:p>
    <w:p>
      <w:pPr>
        <w:pStyle w:val="Heading3"/>
      </w:pPr>
      <w:r>
        <w:t>Purpose</w:t>
      </w:r>
    </w:p>
    <w:p>
      <w:r>
        <w:t>Move the current work-area cursor to the last visible/logical record.</w:t>
      </w:r>
    </w:p>
    <w:p>
      <w:pPr>
        <w:pStyle w:val="Heading3"/>
      </w:pPr>
      <w:r>
        <w:t>Usage</w:t>
      </w:r>
    </w:p>
    <w:p>
      <w:r>
        <w:t>BOTTOM</w:t>
      </w:r>
    </w:p>
    <w:p>
      <w:r>
        <w:t xml:space="preserve">  BOTTOM USAGE</w:t>
      </w:r>
    </w:p>
    <w:p>
      <w:pPr>
        <w:pStyle w:val="Heading3"/>
      </w:pPr>
      <w:r>
        <w:t>Notes</w:t>
      </w:r>
    </w:p>
    <w:p>
      <w:r>
        <w:t>BOTTOM with no arguments moves to the last visible/logical record.</w:t>
      </w:r>
    </w:p>
    <w:p>
      <w:r>
        <w:t xml:space="preserve">  BOTTOM requires an open table except for BOTTOM USAGE.</w:t>
      </w:r>
    </w:p>
    <w:p>
      <w:r>
        <w:t xml:space="preserve">  BOTTOM uses the AutoByFilter last-record navigation selector.</w:t>
      </w:r>
    </w:p>
    <w:p>
      <w:r>
        <w:t xml:space="preserve">  BOTTOM mutates cursor position but does not mutate table data.</w:t>
      </w:r>
    </w:p>
    <w:p>
      <w:r>
        <w:t xml:space="preserve">  TALK ON prints the resulting record number when movement succeeds.</w:t>
      </w:r>
    </w:p>
    <w:p>
      <w:pPr>
        <w:pStyle w:val="Heading3"/>
      </w:pPr>
      <w:r>
        <w:t>Related</w:t>
      </w:r>
    </w:p>
    <w:p>
      <w:r>
        <w:t>TOP</w:t>
      </w:r>
    </w:p>
    <w:p>
      <w:r>
        <w:t xml:space="preserve">  BOTTOM</w:t>
      </w:r>
    </w:p>
    <w:p>
      <w:r>
        <w:t xml:space="preserve">  FIRST</w:t>
      </w:r>
    </w:p>
    <w:p>
      <w:r>
        <w:t xml:space="preserve">  LAST</w:t>
      </w:r>
    </w:p>
    <w:p>
      <w:r>
        <w:t xml:space="preserve">  NEXT</w:t>
      </w:r>
    </w:p>
    <w:p>
      <w:r>
        <w:t xml:space="preserve">  PRIOR</w:t>
      </w:r>
    </w:p>
    <w:p>
      <w:r>
        <w:t xml:space="preserve">  SKIP</w:t>
      </w:r>
    </w:p>
    <w:p>
      <w:r>
        <w:t xml:space="preserve">  GOTO</w:t>
      </w:r>
    </w:p>
    <w:p>
      <w:r>
        <w:t xml:space="preserve">  GPS</w:t>
      </w:r>
    </w:p>
    <w:p>
      <w:pPr>
        <w:pStyle w:val="Heading2"/>
      </w:pPr>
      <w:r>
        <w:t>BROWSE</w:t>
      </w:r>
    </w:p>
    <w:p>
      <w:r>
        <w:t xml:space="preserve">Source: src/cli/cmd_browse.cpp  </w:t>
      </w:r>
    </w:p>
    <w:p>
      <w:r>
        <w:t xml:space="preserve">Owner: DOT|BROWSE  </w:t>
      </w:r>
    </w:p>
    <w:p>
      <w:r>
        <w:t xml:space="preserve">Category: ui  </w:t>
      </w:r>
    </w:p>
    <w:p>
      <w:r>
        <w:t xml:space="preserve">Status: supported  </w:t>
      </w:r>
    </w:p>
    <w:p>
      <w:r>
        <w:t xml:space="preserve">Effect: interactive  </w:t>
      </w:r>
    </w:p>
    <w:p>
      <w:r>
        <w:t xml:space="preserve">Mutates: delegates browse module commands  </w:t>
      </w:r>
    </w:p>
    <w:p>
      <w:r>
        <w:t xml:space="preserve">Usage access: BROWSE USAGE  </w:t>
      </w:r>
    </w:p>
    <w:p>
      <w:pPr>
        <w:pStyle w:val="Heading3"/>
      </w:pPr>
      <w:r>
        <w:t>Purpose</w:t>
      </w:r>
    </w:p>
    <w:p>
      <w:r>
        <w:t>Enter the refactored BROWSE module through the legacy global command</w:t>
      </w:r>
    </w:p>
    <w:p>
      <w:r>
        <w:t xml:space="preserve">  symbol, preserving existing callers while delegating implementation.</w:t>
      </w:r>
    </w:p>
    <w:p>
      <w:pPr>
        <w:pStyle w:val="Heading3"/>
      </w:pPr>
      <w:r>
        <w:t>Usage</w:t>
      </w:r>
    </w:p>
    <w:p>
      <w:r>
        <w:t>BROWSE USAGE</w:t>
      </w:r>
    </w:p>
    <w:p>
      <w:r>
        <w:t xml:space="preserve">  BROWSE</w:t>
      </w:r>
    </w:p>
    <w:p>
      <w:r>
        <w:t xml:space="preserve">  BROWSE EDIT</w:t>
      </w:r>
    </w:p>
    <w:p>
      <w:pPr>
        <w:pStyle w:val="Heading3"/>
      </w:pPr>
      <w:r>
        <w:t>Notes</w:t>
      </w:r>
    </w:p>
    <w:p>
      <w:r>
        <w:t>BROWSE is a thin forwarder to the browse module.</w:t>
      </w:r>
    </w:p>
    <w:p>
      <w:r>
        <w:t xml:space="preserve">  BROWSE with no arguments enters interactive browse mode.</w:t>
      </w:r>
    </w:p>
    <w:p>
      <w:r>
        <w:t xml:space="preserve">  BROWSE EDIT requests edit-capable browse behavior where supported by the module.</w:t>
      </w:r>
    </w:p>
    <w:p>
      <w:r>
        <w:t xml:space="preserve">  Side effects depend on browse actions and delegated commands.</w:t>
      </w:r>
    </w:p>
    <w:p>
      <w:pPr>
        <w:pStyle w:val="Heading3"/>
      </w:pPr>
      <w:r>
        <w:t>Related</w:t>
      </w:r>
    </w:p>
    <w:p>
      <w:r>
        <w:t>BROWSER</w:t>
      </w:r>
    </w:p>
    <w:p>
      <w:r>
        <w:t xml:space="preserve">  BROWSETUI</w:t>
      </w:r>
    </w:p>
    <w:p>
      <w:r>
        <w:t xml:space="preserve">  LIST</w:t>
      </w:r>
    </w:p>
    <w:p>
      <w:r>
        <w:t xml:space="preserve">  DISPLAY</w:t>
      </w:r>
    </w:p>
    <w:p>
      <w:r>
        <w:t xml:space="preserve">  REPLACE</w:t>
      </w:r>
    </w:p>
    <w:p>
      <w:pPr>
        <w:pStyle w:val="Heading2"/>
      </w:pPr>
      <w:r>
        <w:t>BROWSER</w:t>
      </w:r>
    </w:p>
    <w:p>
      <w:r>
        <w:t xml:space="preserve">Source: src/cli/cmd_browser.cpp  </w:t>
      </w:r>
    </w:p>
    <w:p>
      <w:r>
        <w:t xml:space="preserve">Owner: DOT|BROWSER  </w:t>
      </w:r>
    </w:p>
    <w:p>
      <w:r>
        <w:t xml:space="preserve">Category: ui  </w:t>
      </w:r>
    </w:p>
    <w:p>
      <w:r>
        <w:t xml:space="preserve">Status: supported  </w:t>
      </w:r>
    </w:p>
    <w:p>
      <w:r>
        <w:t xml:space="preserve">Effect: interactive  </w:t>
      </w:r>
    </w:p>
    <w:p>
      <w:r>
        <w:t xml:space="preserve">Mutates: delegates LIST DISPLAY GOTO REPLACE  </w:t>
      </w:r>
    </w:p>
    <w:p>
      <w:r>
        <w:t xml:space="preserve">Usage access: BROWSER USAGE  </w:t>
      </w:r>
    </w:p>
    <w:p>
      <w:pPr>
        <w:pStyle w:val="Heading3"/>
      </w:pPr>
      <w:r>
        <w:t>Purpose</w:t>
      </w:r>
    </w:p>
    <w:p>
      <w:r>
        <w:t>Enter a minimal interactive browser with list, display, goto, edit,</w:t>
      </w:r>
    </w:p>
    <w:p>
      <w:r>
        <w:t xml:space="preserve">  help, and quit commands, delegating work to existing command handlers.</w:t>
      </w:r>
    </w:p>
    <w:p>
      <w:pPr>
        <w:pStyle w:val="Heading3"/>
      </w:pPr>
      <w:r>
        <w:t>Usage</w:t>
      </w:r>
    </w:p>
    <w:p>
      <w:r>
        <w:t>BROWSER USAGE</w:t>
      </w:r>
    </w:p>
    <w:p>
      <w:r>
        <w:t xml:space="preserve">  BROWSER</w:t>
      </w:r>
    </w:p>
    <w:p>
      <w:r>
        <w:t xml:space="preserve">  BROWSER EDIT</w:t>
      </w:r>
    </w:p>
    <w:p>
      <w:pPr>
        <w:pStyle w:val="Heading3"/>
      </w:pPr>
      <w:r>
        <w:t>Notes</w:t>
      </w:r>
    </w:p>
    <w:p>
      <w:r>
        <w:t>BROWSER with no arguments enters interactive browse mode.</w:t>
      </w:r>
    </w:p>
    <w:p>
      <w:r>
        <w:t xml:space="preserve">  BROWSER EDIT displays edit mode in the banner; edit command is available inside the browser.</w:t>
      </w:r>
    </w:p>
    <w:p>
      <w:r>
        <w:t xml:space="preserve">  Inside BROWSER, L lists records, D displays current record, G moves to a record, E edits via REPLACE, H or question-mark shows help, and Q quits.</w:t>
      </w:r>
    </w:p>
    <w:p>
      <w:r>
        <w:t xml:space="preserve">  BROWSER itself is interactive; side effects come from delegated GOTO and REPLACE actions.</w:t>
      </w:r>
    </w:p>
    <w:p>
      <w:pPr>
        <w:pStyle w:val="Heading3"/>
      </w:pPr>
      <w:r>
        <w:t>Related</w:t>
      </w:r>
    </w:p>
    <w:p>
      <w:r>
        <w:t>BROWSE</w:t>
      </w:r>
    </w:p>
    <w:p>
      <w:r>
        <w:t xml:space="preserve">  BROWSETUI</w:t>
      </w:r>
    </w:p>
    <w:p>
      <w:r>
        <w:t xml:space="preserve">  LIST</w:t>
      </w:r>
    </w:p>
    <w:p>
      <w:r>
        <w:t xml:space="preserve">  DISPLAY</w:t>
      </w:r>
    </w:p>
    <w:p>
      <w:r>
        <w:t xml:space="preserve">  GOTO</w:t>
      </w:r>
    </w:p>
    <w:p>
      <w:r>
        <w:t xml:space="preserve">  REPLACE</w:t>
      </w:r>
    </w:p>
    <w:p>
      <w:pPr>
        <w:pStyle w:val="Heading2"/>
      </w:pPr>
      <w:r>
        <w:t>BROWSETUI</w:t>
      </w:r>
    </w:p>
    <w:p>
      <w:r>
        <w:t xml:space="preserve">Source: src/cli/cmd_browsetui.cpp  </w:t>
      </w:r>
    </w:p>
    <w:p>
      <w:r>
        <w:t xml:space="preserve">Owner: DOT|BROWSETUI  </w:t>
      </w:r>
    </w:p>
    <w:p>
      <w:r>
        <w:t xml:space="preserve">Category: ui  </w:t>
      </w:r>
    </w:p>
    <w:p>
      <w:r>
        <w:t xml:space="preserve">Status: supported  </w:t>
      </w:r>
    </w:p>
    <w:p>
      <w:r>
        <w:t xml:space="preserve">Effect: interactive  </w:t>
      </w:r>
    </w:p>
    <w:p>
      <w:r>
        <w:t xml:space="preserve">Mutates: delegates create append delete goto replace-like staged edits  </w:t>
      </w:r>
    </w:p>
    <w:p>
      <w:r>
        <w:t xml:space="preserve">Usage access: BROWSETUI USAGE  </w:t>
      </w:r>
    </w:p>
    <w:p>
      <w:pPr>
        <w:pStyle w:val="Heading3"/>
      </w:pPr>
      <w:r>
        <w:t>Purpose</w:t>
      </w:r>
    </w:p>
    <w:p>
      <w:r>
        <w:t>Enter the full-screen Turbo/console browse UI with create, read, update,</w:t>
      </w:r>
    </w:p>
    <w:p>
      <w:r>
        <w:t xml:space="preserve">  delete, append, navigation, and staged edit support.</w:t>
      </w:r>
    </w:p>
    <w:p>
      <w:pPr>
        <w:pStyle w:val="Heading3"/>
      </w:pPr>
      <w:r>
        <w:t>Usage</w:t>
      </w:r>
    </w:p>
    <w:p>
      <w:r>
        <w:t>BROWSETUI USAGE</w:t>
      </w:r>
    </w:p>
    <w:p>
      <w:r>
        <w:t xml:space="preserve">  BROWSETUI</w:t>
      </w:r>
    </w:p>
    <w:p>
      <w:pPr>
        <w:pStyle w:val="Heading3"/>
      </w:pPr>
      <w:r>
        <w:t>Notes</w:t>
      </w:r>
    </w:p>
    <w:p>
      <w:r>
        <w:t>BROWSETUI with no arguments enters the interactive TUI browser.</w:t>
      </w:r>
    </w:p>
    <w:p>
      <w:r>
        <w:t xml:space="preserve">  The TUI uses function keys and single-key commands for create, read/list, update/edit, delete, append, goto, help, and quit.</w:t>
      </w:r>
    </w:p>
    <w:p>
      <w:r>
        <w:t xml:space="preserve">  Edits may be staged and then saved or discarded when navigating or exiting.</w:t>
      </w:r>
    </w:p>
    <w:p>
      <w:r>
        <w:t xml:space="preserve">  BROWSETUI delegates to existing command handlers for create, append, delete, list/display, goto, and update-like operations.</w:t>
      </w:r>
    </w:p>
    <w:p>
      <w:r>
        <w:t xml:space="preserve">  BROWSETUI is interactive and may mutate table data or session state depending on user actions.</w:t>
      </w:r>
    </w:p>
    <w:p>
      <w:pPr>
        <w:pStyle w:val="Heading3"/>
      </w:pPr>
      <w:r>
        <w:t>Related</w:t>
      </w:r>
    </w:p>
    <w:p>
      <w:r>
        <w:t>BROWSE</w:t>
      </w:r>
    </w:p>
    <w:p>
      <w:r>
        <w:t xml:space="preserve">  BROWSER</w:t>
      </w:r>
    </w:p>
    <w:p>
      <w:r>
        <w:t xml:space="preserve">  CREATE</w:t>
      </w:r>
    </w:p>
    <w:p>
      <w:r>
        <w:t xml:space="preserve">  APPEND</w:t>
      </w:r>
    </w:p>
    <w:p>
      <w:r>
        <w:t xml:space="preserve">  DELETE</w:t>
      </w:r>
    </w:p>
    <w:p>
      <w:r>
        <w:t xml:space="preserve">  GOTO</w:t>
      </w:r>
    </w:p>
    <w:p>
      <w:pPr>
        <w:pStyle w:val="Heading2"/>
      </w:pPr>
      <w:r>
        <w:t>BUILDLMDB</w:t>
      </w:r>
    </w:p>
    <w:p>
      <w:r>
        <w:t xml:space="preserve">Source: src/cli/cmd_buildlmdb.cpp  </w:t>
      </w:r>
    </w:p>
    <w:p>
      <w:r>
        <w:t xml:space="preserve">Owner: DOT|BUILDLMDB  </w:t>
      </w:r>
    </w:p>
    <w:p>
      <w:r>
        <w:t xml:space="preserve">Category: index  </w:t>
      </w:r>
    </w:p>
    <w:p>
      <w:r>
        <w:t xml:space="preserve">Status: supported  </w:t>
      </w:r>
    </w:p>
    <w:p>
      <w:r>
        <w:t xml:space="preserve">Effect: rebuild  </w:t>
      </w:r>
    </w:p>
    <w:p>
      <w:r>
        <w:t xml:space="preserve">Mutates: lmdb-index-backend filesystem order-state  </w:t>
      </w:r>
    </w:p>
    <w:p>
      <w:r>
        <w:t xml:space="preserve">Usage access: BUILDLMDB USAGE  </w:t>
      </w:r>
    </w:p>
    <w:p>
      <w:pPr>
        <w:pStyle w:val="Heading3"/>
      </w:pPr>
      <w:r>
        <w:t>Purpose</w:t>
      </w:r>
    </w:p>
    <w:p>
      <w:r>
        <w:t>Build or rebuild the LMDB backing store for a CDX container using one LMDB</w:t>
      </w:r>
    </w:p>
    <w:p>
      <w:r>
        <w:t xml:space="preserve">  environment per table container and named databases for tags.</w:t>
      </w:r>
    </w:p>
    <w:p>
      <w:pPr>
        <w:pStyle w:val="Heading3"/>
      </w:pPr>
      <w:r>
        <w:t>Usage</w:t>
      </w:r>
    </w:p>
    <w:p>
      <w:r>
        <w:t>BUILDLMDB USAGE</w:t>
      </w:r>
    </w:p>
    <w:p>
      <w:r>
        <w:t xml:space="preserve">  BUILDLMDB</w:t>
      </w:r>
    </w:p>
    <w:p>
      <w:r>
        <w:t xml:space="preserve">  BUILDLMDB YES</w:t>
      </w:r>
    </w:p>
    <w:p>
      <w:r>
        <w:t xml:space="preserve">  BUILDLMDB AUTO</w:t>
      </w:r>
    </w:p>
    <w:p>
      <w:r>
        <w:t xml:space="preserve">  BUILDLMDB NOPROMPT</w:t>
      </w:r>
    </w:p>
    <w:p>
      <w:r>
        <w:t xml:space="preserve">  BUILDLMDB CLEAN YES</w:t>
      </w:r>
    </w:p>
    <w:p>
      <w:r>
        <w:t xml:space="preserve">  BUILDLMDB FORCE YES</w:t>
      </w:r>
    </w:p>
    <w:p>
      <w:r>
        <w:t xml:space="preserve">  BUILDLMDB QUIET</w:t>
      </w:r>
    </w:p>
    <w:p>
      <w:r>
        <w:t xml:space="preserve">  BUILDLMDB SILENT</w:t>
      </w:r>
    </w:p>
    <w:p>
      <w:r>
        <w:t xml:space="preserve">  BUILDLMDB TINY</w:t>
      </w:r>
    </w:p>
    <w:p>
      <w:r>
        <w:t xml:space="preserve">  BUILDLMDB SMALL</w:t>
      </w:r>
    </w:p>
    <w:p>
      <w:r>
        <w:t xml:space="preserve">  BUILDLMDB MEDIUM</w:t>
      </w:r>
    </w:p>
    <w:p>
      <w:r>
        <w:t xml:space="preserve">  BUILDLMDB LARGE</w:t>
      </w:r>
    </w:p>
    <w:p>
      <w:r>
        <w:t xml:space="preserve">  BUILDLMDB XL</w:t>
      </w:r>
    </w:p>
    <w:p>
      <w:r>
        <w:t xml:space="preserve">  BUILDLMDB HUGE</w:t>
      </w:r>
    </w:p>
    <w:p>
      <w:r>
        <w:t xml:space="preserve">  BUILDLMDB MAPSIZE &lt;size&gt; YES</w:t>
      </w:r>
    </w:p>
    <w:p>
      <w:r>
        <w:t xml:space="preserve">  BUILDLMDB CLEAN MAPSIZE &lt;size&gt; YES</w:t>
      </w:r>
    </w:p>
    <w:p>
      <w:pPr>
        <w:pStyle w:val="Heading3"/>
      </w:pPr>
      <w:r>
        <w:t>Notes</w:t>
      </w:r>
    </w:p>
    <w:p>
      <w:r>
        <w:t>BUILDLMDB requires an open table except for usage/help requests.</w:t>
      </w:r>
    </w:p>
    <w:p>
      <w:r>
        <w:t xml:space="preserve">  The public CDX container resolves under INDEXES and the LMDB backend environment resolves under LMDB.</w:t>
      </w:r>
    </w:p>
    <w:p>
      <w:r>
        <w:t xml:space="preserve">  If an existing LMDB environment would be destructively rebuilt, explicit YES, AUTO, NOPROMPT, QUIET, or SILENT is required.</w:t>
      </w:r>
    </w:p>
    <w:p>
      <w:r>
        <w:t xml:space="preserve">  CLEAN and FORCE archive the existing environment before rebuild.</w:t>
      </w:r>
    </w:p>
    <w:p>
      <w:r>
        <w:t xml:space="preserve">  BUILDLMDB releases active index/order state before destructive rebuild.</w:t>
      </w:r>
    </w:p>
    <w:p>
      <w:r>
        <w:t xml:space="preserve">  BUILDLMDB rebuilds tag databases from current table data.</w:t>
      </w:r>
    </w:p>
    <w:p>
      <w:pPr>
        <w:pStyle w:val="Heading3"/>
      </w:pPr>
      <w:r>
        <w:t>Related</w:t>
      </w:r>
    </w:p>
    <w:p>
      <w:r>
        <w:t>CDX</w:t>
      </w:r>
    </w:p>
    <w:p>
      <w:r>
        <w:t xml:space="preserve">  LMDB</w:t>
      </w:r>
    </w:p>
    <w:p>
      <w:r>
        <w:t xml:space="preserve">  SET ORDER</w:t>
      </w:r>
    </w:p>
    <w:p>
      <w:r>
        <w:t xml:space="preserve">  INDEX</w:t>
      </w:r>
    </w:p>
    <w:p>
      <w:r>
        <w:t xml:space="preserve">  REINDEX</w:t>
      </w:r>
    </w:p>
    <w:p>
      <w:pPr>
        <w:pStyle w:val="Heading2"/>
      </w:pPr>
      <w:r>
        <w:t>CALC</w:t>
      </w:r>
    </w:p>
    <w:p>
      <w:r>
        <w:t xml:space="preserve">Source: src/cli/cmd_calc.cpp  </w:t>
      </w:r>
    </w:p>
    <w:p>
      <w:r>
        <w:t xml:space="preserve">Owner: DOT|CALC  </w:t>
      </w:r>
    </w:p>
    <w:p>
      <w:r>
        <w:t xml:space="preserve">Category: expression  </w:t>
      </w:r>
    </w:p>
    <w:p>
      <w:r>
        <w:t xml:space="preserve">Status: supported  </w:t>
      </w:r>
    </w:p>
    <w:p>
      <w:r>
        <w:t xml:space="preserve">Effect: evaluate  </w:t>
      </w:r>
    </w:p>
    <w:p>
      <w:r>
        <w:t xml:space="preserve">Mutates: none unless assignment targets an open field  </w:t>
      </w:r>
    </w:p>
    <w:p>
      <w:r>
        <w:t xml:space="preserve">Usage access: CALC USAGE  </w:t>
      </w:r>
    </w:p>
    <w:p>
      <w:pPr>
        <w:pStyle w:val="Heading3"/>
      </w:pPr>
      <w:r>
        <w:t>Purpose</w:t>
      </w:r>
    </w:p>
    <w:p>
      <w:r>
        <w:t>Evaluate an xexpr scalar expression and print the result. When the input</w:t>
      </w:r>
    </w:p>
    <w:p>
      <w:r>
        <w:t xml:space="preserve">  is an assignment to a real field in the current area, CALC delegates to</w:t>
      </w:r>
    </w:p>
    <w:p>
      <w:r>
        <w:t xml:space="preserve">  CALCWRITE for mutation semantics.</w:t>
      </w:r>
    </w:p>
    <w:p>
      <w:pPr>
        <w:pStyle w:val="Heading3"/>
      </w:pPr>
      <w:r>
        <w:t>Usage</w:t>
      </w:r>
    </w:p>
    <w:p>
      <w:r>
        <w:t>CALC USAGE</w:t>
      </w:r>
    </w:p>
    <w:p>
      <w:r>
        <w:t xml:space="preserve">  CALC &lt;expr&gt;</w:t>
      </w:r>
    </w:p>
    <w:p>
      <w:r>
        <w:t xml:space="preserve">  CALC (&lt;expr&gt;)</w:t>
      </w:r>
    </w:p>
    <w:p>
      <w:r>
        <w:t xml:space="preserve">  CALC &lt;field&gt; = &lt;expr&gt;</w:t>
      </w:r>
    </w:p>
    <w:p>
      <w:pPr>
        <w:pStyle w:val="Heading3"/>
      </w:pPr>
      <w:r>
        <w:t>Examples</w:t>
      </w:r>
    </w:p>
    <w:p>
      <w:r>
        <w:t>CALC 1 + 2</w:t>
      </w:r>
    </w:p>
    <w:p>
      <w:r>
        <w:t xml:space="preserve">  CALC DATE()</w:t>
      </w:r>
    </w:p>
    <w:p>
      <w:r>
        <w:t xml:space="preserve">  CALC UPPER(LNAME)</w:t>
      </w:r>
    </w:p>
    <w:p>
      <w:r>
        <w:t xml:space="preserve">  CALC BALANCE = BALANCE + 10</w:t>
      </w:r>
    </w:p>
    <w:p>
      <w:pPr>
        <w:pStyle w:val="Heading3"/>
      </w:pPr>
      <w:r>
        <w:t>Notes</w:t>
      </w:r>
    </w:p>
    <w:p>
      <w:r>
        <w:t>CALC with an empty expression preserves existing behavior and prints .F.</w:t>
      </w:r>
    </w:p>
    <w:p>
      <w:r>
        <w:t xml:space="preserve">  CALC prints Bool, Number, String, and Date results.</w:t>
      </w:r>
    </w:p>
    <w:p>
      <w:r>
        <w:t xml:space="preserve">  CALC uses xexpr for scalar and field-aware expression evaluation.</w:t>
      </w:r>
    </w:p>
    <w:p>
      <w:r>
        <w:t xml:space="preserve">  CALC assignment mutates only when the LHS is a real field in the open area.</w:t>
      </w:r>
    </w:p>
    <w:p>
      <w:r>
        <w:t xml:space="preserve">  Field assignment is delegated to CALCWRITE so table-buffer, memo, validation,</w:t>
      </w:r>
    </w:p>
    <w:p>
      <w:r>
        <w:t xml:space="preserve">  and direct-write/index semantics stay centralized.</w:t>
      </w:r>
    </w:p>
    <w:p>
      <w:r>
        <w:t xml:space="preserve">  CALC expression-only mode is read-only; CALC field-assignment mode is a data mutation path.</w:t>
      </w:r>
    </w:p>
    <w:p>
      <w:pPr>
        <w:pStyle w:val="Heading3"/>
      </w:pPr>
      <w:r>
        <w:t>Related</w:t>
      </w:r>
    </w:p>
    <w:p>
      <w:r>
        <w:t>CALCWRITE</w:t>
      </w:r>
    </w:p>
    <w:p>
      <w:r>
        <w:t xml:space="preserve">  REPLACE</w:t>
      </w:r>
    </w:p>
    <w:p>
      <w:r>
        <w:t xml:space="preserve">  MULTIREP</w:t>
      </w:r>
    </w:p>
    <w:p>
      <w:r>
        <w:t xml:space="preserve">  XEXPR</w:t>
      </w:r>
    </w:p>
    <w:p>
      <w:pPr>
        <w:pStyle w:val="Heading2"/>
      </w:pPr>
      <w:r>
        <w:t>CALCWRITE</w:t>
      </w:r>
    </w:p>
    <w:p>
      <w:r>
        <w:t xml:space="preserve">Source: src/cli/cmd_calcwrite.cpp  </w:t>
      </w:r>
    </w:p>
    <w:p>
      <w:r>
        <w:t xml:space="preserve">Owner: DOT|CALCWRITE  </w:t>
      </w:r>
    </w:p>
    <w:p>
      <w:r>
        <w:t xml:space="preserve">Category: data  </w:t>
      </w:r>
    </w:p>
    <w:p>
      <w:r>
        <w:t xml:space="preserve">Status: supported  </w:t>
      </w:r>
    </w:p>
    <w:p>
      <w:r>
        <w:t xml:space="preserve">Effect: mutate  </w:t>
      </w:r>
    </w:p>
    <w:p>
      <w:r>
        <w:t xml:space="preserve">Mutates: table-data table-buffer memo stale-state index  </w:t>
      </w:r>
    </w:p>
    <w:p>
      <w:r>
        <w:t xml:space="preserve">Usage access: CALCWRITE USAGE  </w:t>
      </w:r>
    </w:p>
    <w:p>
      <w:pPr>
        <w:pStyle w:val="Heading3"/>
      </w:pPr>
      <w:r>
        <w:t>Purpose</w:t>
      </w:r>
    </w:p>
    <w:p>
      <w:r>
        <w:t>Evaluate an expression and write the result into a field in the current</w:t>
      </w:r>
    </w:p>
    <w:p>
      <w:r>
        <w:t xml:space="preserve">  record, preserving type normalization, validation, memo conversion,</w:t>
      </w:r>
    </w:p>
    <w:p>
      <w:r>
        <w:t xml:space="preserve">  table-buffer semantics, and direct-write index maintenance.</w:t>
      </w:r>
    </w:p>
    <w:p>
      <w:pPr>
        <w:pStyle w:val="Heading3"/>
      </w:pPr>
      <w:r>
        <w:t>Usage</w:t>
      </w:r>
    </w:p>
    <w:p>
      <w:r>
        <w:t>CALCWRITE USAGE</w:t>
      </w:r>
    </w:p>
    <w:p>
      <w:r>
        <w:t xml:space="preserve">  CALCWRITE &lt;field&gt; = &lt;expr&gt;</w:t>
      </w:r>
    </w:p>
    <w:p>
      <w:pPr>
        <w:pStyle w:val="Heading3"/>
      </w:pPr>
      <w:r>
        <w:t>Examples</w:t>
      </w:r>
    </w:p>
    <w:p>
      <w:r>
        <w:t>CALCWRITE BALANCE = BALANCE + 10</w:t>
      </w:r>
    </w:p>
    <w:p>
      <w:r>
        <w:t xml:space="preserve">  CALCWRITE LNAME = UPPER(LNAME)</w:t>
      </w:r>
    </w:p>
    <w:p>
      <w:r>
        <w:t xml:space="preserve">  CALCWRITE POSTED = TODAY</w:t>
      </w:r>
    </w:p>
    <w:p>
      <w:pPr>
        <w:pStyle w:val="Heading3"/>
      </w:pPr>
      <w:r>
        <w:t>Notes</w:t>
      </w:r>
    </w:p>
    <w:p>
      <w:r>
        <w:t>CALCWRITE requires an open table and a current record.</w:t>
      </w:r>
    </w:p>
    <w:p>
      <w:r>
        <w:t xml:space="preserve">  CALCWRITE requires assignment syntax using '='.</w:t>
      </w:r>
    </w:p>
    <w:p>
      <w:r>
        <w:t xml:space="preserve">  RHS expressions are evaluated with xexpr against the current area.</w:t>
      </w:r>
    </w:p>
    <w:p>
      <w:r>
        <w:t xml:space="preserve">  Result values are normalized for the target field type before storage.</w:t>
      </w:r>
    </w:p>
    <w:p>
      <w:r>
        <w:t xml:space="preserve">  Currency pair fields are validated and normalized through currency helpers.</w:t>
      </w:r>
    </w:p>
    <w:p>
      <w:r>
        <w:t xml:space="preserve">  X64 memo fields update memo payloads and store memo object-id text.</w:t>
      </w:r>
    </w:p>
    <w:p>
      <w:r>
        <w:t xml:space="preserve">  When TABLE buffering is ON, CALCWRITE buffers the change and marks the field stale/dirty.</w:t>
      </w:r>
    </w:p>
    <w:p>
      <w:r>
        <w:t xml:space="preserve">  When TABLE buffering is OFF, CALCWRITE writes through DbArea::replaceFieldStored.</w:t>
      </w:r>
    </w:p>
    <w:p>
      <w:r>
        <w:t xml:space="preserve">  Direct-write mode uses the engine mutation funnel so active indexes stay consistent.</w:t>
      </w:r>
    </w:p>
    <w:p>
      <w:r>
        <w:t xml:space="preserve">  CALCWRITE is a table-data mutation command; do not classify it as read-only.</w:t>
      </w:r>
    </w:p>
    <w:p>
      <w:pPr>
        <w:pStyle w:val="Heading3"/>
      </w:pPr>
      <w:r>
        <w:t>Related</w:t>
      </w:r>
    </w:p>
    <w:p>
      <w:r>
        <w:t>CALC</w:t>
      </w:r>
    </w:p>
    <w:p>
      <w:r>
        <w:t xml:space="preserve">  REPLACE</w:t>
      </w:r>
    </w:p>
    <w:p>
      <w:r>
        <w:t xml:space="preserve">  MULTIREP</w:t>
      </w:r>
    </w:p>
    <w:p>
      <w:r>
        <w:t xml:space="preserve">  TABLE</w:t>
      </w:r>
    </w:p>
    <w:p>
      <w:r>
        <w:t xml:space="preserve">  COMMIT</w:t>
      </w:r>
    </w:p>
    <w:p>
      <w:pPr>
        <w:pStyle w:val="Heading2"/>
      </w:pPr>
      <w:r>
        <w:t>CASE</w:t>
      </w:r>
    </w:p>
    <w:p>
      <w:r>
        <w:t xml:space="preserve">Source: src/edu/edu_case.cpp  </w:t>
      </w:r>
    </w:p>
    <w:p>
      <w:r>
        <w:t xml:space="preserve">Owner: EDU|CASE  </w:t>
      </w:r>
    </w:p>
    <w:p>
      <w:r>
        <w:t xml:space="preserve">Category: education-reference  </w:t>
      </w:r>
    </w:p>
    <w:p>
      <w:r>
        <w:t xml:space="preserve">Status: supported  </w:t>
      </w:r>
    </w:p>
    <w:p>
      <w:r>
        <w:t xml:space="preserve">Effect: report  </w:t>
      </w:r>
    </w:p>
    <w:p>
      <w:r>
        <w:t xml:space="preserve">Mutates: none  </w:t>
      </w:r>
    </w:p>
    <w:p>
      <w:r>
        <w:t xml:space="preserve">Usage access: CASE USAGE  </w:t>
      </w:r>
    </w:p>
    <w:p>
      <w:pPr>
        <w:pStyle w:val="Heading3"/>
      </w:pPr>
      <w:r>
        <w:t>Purpose</w:t>
      </w:r>
    </w:p>
    <w:p>
      <w:r>
        <w:t>List and show educational case-study catalog entries.</w:t>
      </w:r>
    </w:p>
    <w:p>
      <w:pPr>
        <w:pStyle w:val="Heading3"/>
      </w:pPr>
      <w:r>
        <w:t>Usage</w:t>
      </w:r>
    </w:p>
    <w:p>
      <w:r>
        <w:t>CASE USAGE</w:t>
      </w:r>
    </w:p>
    <w:p>
      <w:r>
        <w:t xml:space="preserve">  CASE HELP</w:t>
      </w:r>
    </w:p>
    <w:p>
      <w:r>
        <w:t xml:space="preserve">  CASE LIST</w:t>
      </w:r>
    </w:p>
    <w:p>
      <w:r>
        <w:t xml:space="preserve">  CASE SHOW &lt;id&gt;</w:t>
      </w:r>
    </w:p>
    <w:p>
      <w:pPr>
        <w:pStyle w:val="Heading3"/>
      </w:pPr>
      <w:r>
        <w:t>Examples</w:t>
      </w:r>
    </w:p>
    <w:p>
      <w:r>
        <w:t>CASE</w:t>
      </w:r>
    </w:p>
    <w:p>
      <w:r>
        <w:t xml:space="preserve">  CASE LIST</w:t>
      </w:r>
    </w:p>
    <w:p>
      <w:r>
        <w:t xml:space="preserve">  CASE SHOW normalization</w:t>
      </w:r>
    </w:p>
    <w:p>
      <w:pPr>
        <w:pStyle w:val="Heading3"/>
      </w:pPr>
      <w:r>
        <w:t>Notes</w:t>
      </w:r>
    </w:p>
    <w:p>
      <w:r>
        <w:t>CASE USAGE/HELP/? prints usage before catalog lookup.</w:t>
      </w:r>
    </w:p>
    <w:p>
      <w:r>
        <w:t xml:space="preserve">  CASE is read-only catalog/reference output.</w:t>
      </w:r>
    </w:p>
    <w:p>
      <w:pPr>
        <w:pStyle w:val="Heading2"/>
      </w:pPr>
      <w:r>
        <w:t>CATALOGCANARY</w:t>
      </w:r>
    </w:p>
    <w:p>
      <w:r>
        <w:t xml:space="preserve">Source: src/cli/cmd_catalogcanary.cpp  </w:t>
      </w:r>
    </w:p>
    <w:p>
      <w:r>
        <w:t xml:space="preserve">Owner: DOT|CATALOGCANARY  </w:t>
      </w:r>
    </w:p>
    <w:p>
      <w:r>
        <w:t xml:space="preserve">Category: metadata-dev  </w:t>
      </w:r>
    </w:p>
    <w:p>
      <w:r>
        <w:t xml:space="preserve">Status: dev-canary  </w:t>
      </w:r>
    </w:p>
    <w:p>
      <w:r>
        <w:t xml:space="preserve">Effect: report  </w:t>
      </w:r>
    </w:p>
    <w:p>
      <w:r>
        <w:t xml:space="preserve">Mutates: none  </w:t>
      </w:r>
    </w:p>
    <w:p>
      <w:r>
        <w:t xml:space="preserve">Usage access: CATALOGCANARY USAGE  </w:t>
      </w:r>
    </w:p>
    <w:p>
      <w:pPr>
        <w:pStyle w:val="Heading3"/>
      </w:pPr>
      <w:r>
        <w:t>Purpose</w:t>
      </w:r>
    </w:p>
    <w:p>
      <w:r>
        <w:t>Dev canary for the metadata catalog reader adapter. Reads the current</w:t>
      </w:r>
    </w:p>
    <w:p>
      <w:r>
        <w:t xml:space="preserve">  already-open SYSCMD area and reports adapter row/distribution counts.</w:t>
      </w:r>
    </w:p>
    <w:p>
      <w:pPr>
        <w:pStyle w:val="Heading3"/>
      </w:pPr>
      <w:r>
        <w:t>Usage</w:t>
      </w:r>
    </w:p>
    <w:p>
      <w:r>
        <w:t>CATALOGCANARY</w:t>
      </w:r>
    </w:p>
    <w:p>
      <w:r>
        <w:t xml:space="preserve">  CATALOGCANARY USAGE</w:t>
      </w:r>
    </w:p>
    <w:p>
      <w:pPr>
        <w:pStyle w:val="Heading3"/>
      </w:pPr>
      <w:r>
        <w:t>Notes</w:t>
      </w:r>
    </w:p>
    <w:p>
      <w:r>
        <w:t>CATALOGCANARY does not open SYSCMD.dbf.</w:t>
      </w:r>
    </w:p>
    <w:p>
      <w:r>
        <w:t xml:space="preserve">  CATALOGCANARY does not call USE or WORKSPACE OPEN.</w:t>
      </w:r>
    </w:p>
    <w:p>
      <w:pPr>
        <w:pStyle w:val="Heading3"/>
      </w:pPr>
      <w:r>
        <w:t xml:space="preserve">  CATALOGCANARY expects DotTalk++ to have already prepared the area</w:t>
      </w:r>
    </w:p>
    <w:p>
      <w:r>
        <w:t xml:space="preserve">    DO METADATA</w:t>
      </w:r>
    </w:p>
    <w:p>
      <w:r>
        <w:t xml:space="preserve">    WORKSPACE OPEN DBF</w:t>
      </w:r>
    </w:p>
    <w:p>
      <w:r>
        <w:t xml:space="preserve">    SELECT SYSCMD</w:t>
      </w:r>
    </w:p>
    <w:p>
      <w:r>
        <w:t xml:space="preserve">  It calls load_commands_from_area(current_area).</w:t>
      </w:r>
    </w:p>
    <w:p>
      <w:r>
        <w:t xml:space="preserve">  Registration is intentionally left to the house shell command registry.</w:t>
      </w:r>
    </w:p>
    <w:p>
      <w:pPr>
        <w:pStyle w:val="Heading3"/>
      </w:pPr>
      <w:r>
        <w:t>Related</w:t>
      </w:r>
    </w:p>
    <w:p>
      <w:r>
        <w:t>METADATA</w:t>
      </w:r>
    </w:p>
    <w:p>
      <w:r>
        <w:t xml:space="preserve">  WORKSPACE</w:t>
      </w:r>
    </w:p>
    <w:p>
      <w:r>
        <w:t xml:space="preserve">  USE</w:t>
      </w:r>
    </w:p>
    <w:p>
      <w:r>
        <w:t xml:space="preserve">  FIELDS</w:t>
      </w:r>
    </w:p>
    <w:p>
      <w:r>
        <w:t xml:space="preserve">  LIST</w:t>
      </w:r>
    </w:p>
    <w:p>
      <w:r>
        <w:t xml:space="preserve">  CMDHELPCHK</w:t>
      </w:r>
    </w:p>
    <w:p>
      <w:pPr>
        <w:pStyle w:val="Heading2"/>
      </w:pPr>
      <w:r>
        <w:t>CDX</w:t>
      </w:r>
    </w:p>
    <w:p>
      <w:r>
        <w:t xml:space="preserve">Source: src/cli/cmd_cdx.cpp  </w:t>
      </w:r>
    </w:p>
    <w:p>
      <w:r>
        <w:t xml:space="preserve">Owner: DOT|CDX  </w:t>
      </w:r>
    </w:p>
    <w:p>
      <w:r>
        <w:t xml:space="preserve">Category: index  </w:t>
      </w:r>
    </w:p>
    <w:p>
      <w:r>
        <w:t xml:space="preserve">Status: supported  </w:t>
      </w:r>
    </w:p>
    <w:p>
      <w:r>
        <w:t xml:space="preserve">Effect: mixed  </w:t>
      </w:r>
    </w:p>
    <w:p>
      <w:r>
        <w:t xml:space="preserve">Mutates: index-metadata filesystem  </w:t>
      </w:r>
    </w:p>
    <w:p>
      <w:r>
        <w:t xml:space="preserve">Usage access: CDX USAGE  </w:t>
      </w:r>
    </w:p>
    <w:p>
      <w:pPr>
        <w:pStyle w:val="Heading3"/>
      </w:pPr>
      <w:r>
        <w:t>Purpose</w:t>
      </w:r>
    </w:p>
    <w:p>
      <w:r>
        <w:t>Manage CDX index container metadata: create containers, inspect header/tag</w:t>
      </w:r>
    </w:p>
    <w:p>
      <w:r>
        <w:t xml:space="preserve">  directories, add tags, and drop tags.</w:t>
      </w:r>
    </w:p>
    <w:p>
      <w:pPr>
        <w:pStyle w:val="Heading3"/>
      </w:pPr>
      <w:r>
        <w:t>Usage</w:t>
      </w:r>
    </w:p>
    <w:p>
      <w:r>
        <w:t>CDX USAGE</w:t>
      </w:r>
    </w:p>
    <w:p>
      <w:r>
        <w:t xml:space="preserve">  CDX INFO [&lt;path.cdx&gt;]</w:t>
      </w:r>
    </w:p>
    <w:p>
      <w:r>
        <w:t xml:space="preserve">  CDX TAGS [&lt;path.cdx&gt;]</w:t>
      </w:r>
    </w:p>
    <w:p>
      <w:r>
        <w:t xml:space="preserve">  CDX CREATE [&lt;path.cdx&gt;]</w:t>
      </w:r>
    </w:p>
    <w:p>
      <w:r>
        <w:t xml:space="preserve">  CDX ADDTAG &lt;name&gt; [&lt;path.cdx&gt;]</w:t>
      </w:r>
    </w:p>
    <w:p>
      <w:r>
        <w:t xml:space="preserve">  CDX DROPTAG &lt;name&gt; [&lt;path.cdx&gt;]</w:t>
      </w:r>
    </w:p>
    <w:p>
      <w:pPr>
        <w:pStyle w:val="Heading3"/>
      </w:pPr>
      <w:r>
        <w:t>Notes</w:t>
      </w:r>
    </w:p>
    <w:p>
      <w:r>
        <w:t>CDX with no arguments shows usage and does not default to INFO.</w:t>
      </w:r>
    </w:p>
    <w:p>
      <w:r>
        <w:t xml:space="preserve">  If no path is supplied, CDX first uses the active CDX path from order state when available.</w:t>
      </w:r>
    </w:p>
    <w:p>
      <w:r>
        <w:t xml:space="preserve">  Otherwise CDX derives &lt;current_dbf_basename&gt;.cdx through the INDEXES path slot.</w:t>
      </w:r>
    </w:p>
    <w:p>
      <w:r>
        <w:t xml:space="preserve">  CREATE refuses to overwrite an existing file.</w:t>
      </w:r>
    </w:p>
    <w:p>
      <w:r>
        <w:t xml:space="preserve">  INFO and TAGS are read-only inspection operations and require an existing file.</w:t>
      </w:r>
    </w:p>
    <w:p>
      <w:r>
        <w:t xml:space="preserve">  ADDTAG and DROPTAG mutate the CDX container tag directory and require an existing file.</w:t>
      </w:r>
    </w:p>
    <w:p>
      <w:r>
        <w:t xml:space="preserve">  CDX manages container header/tag metadata; backend tag build data persistence is owned elsewhere.</w:t>
      </w:r>
    </w:p>
    <w:p>
      <w:pPr>
        <w:pStyle w:val="Heading3"/>
      </w:pPr>
      <w:r>
        <w:t>Related</w:t>
      </w:r>
    </w:p>
    <w:p>
      <w:r>
        <w:t>CNX</w:t>
      </w:r>
    </w:p>
    <w:p>
      <w:r>
        <w:t xml:space="preserve">  INDEX</w:t>
      </w:r>
    </w:p>
    <w:p>
      <w:r>
        <w:t xml:space="preserve">  SET CDX</w:t>
      </w:r>
    </w:p>
    <w:p>
      <w:r>
        <w:t xml:space="preserve">  SET ORDER</w:t>
      </w:r>
    </w:p>
    <w:p>
      <w:r>
        <w:t xml:space="preserve">  REINDEX</w:t>
      </w:r>
    </w:p>
    <w:p>
      <w:r>
        <w:t>The full harvested command guide remains in DOTTALKPP_COMMAND_REFERENCE_GUIDE_V1.md.</w:t>
      </w:r>
    </w:p>
    <w:p>
      <w:r>
        <w:br w:type="page"/>
      </w:r>
    </w:p>
    <w:p>
      <w:pPr>
        <w:pStyle w:val="Heading1"/>
      </w:pPr>
      <w:r>
        <w:t>Generated Topical Index</w:t>
      </w:r>
    </w:p>
    <w:tbl>
      <w:tblPr>
        <w:tblW w:type="auto" w:w="0"/>
        <w:tblLook w:firstColumn="1" w:firstRow="1" w:lastColumn="0" w:lastRow="0" w:noHBand="0" w:noVBand="1" w:val="04A0"/>
      </w:tblPr>
      <w:tblGrid>
        <w:gridCol w:w="4680"/>
        <w:gridCol w:w="4680"/>
      </w:tblGrid>
      <w:tr>
        <w:tc>
          <w:tcPr>
            <w:tcW w:type="dxa" w:w="2664"/>
            <w:vAlign w:val="center"/>
            <w:tcBorders>
              <w:top w:val="single" w:sz="4" w:space="0" w:color="B7C6D8"/>
              <w:left w:val="single" w:sz="4" w:space="0" w:color="B7C6D8"/>
              <w:bottom w:val="single" w:sz="4" w:space="0" w:color="B7C6D8"/>
              <w:right w:val="single" w:sz="4" w:space="0" w:color="B7C6D8"/>
            </w:tcBorders>
            <w:shd w:fill="E8EEF5"/>
          </w:tcPr>
          <w:p>
            <w:r>
              <w:t>Term</w:t>
            </w:r>
          </w:p>
        </w:tc>
        <w:tc>
          <w:tcPr>
            <w:tcW w:type="dxa" w:w="6696"/>
            <w:vAlign w:val="center"/>
            <w:tcBorders>
              <w:top w:val="single" w:sz="4" w:space="0" w:color="B7C6D8"/>
              <w:left w:val="single" w:sz="4" w:space="0" w:color="B7C6D8"/>
              <w:bottom w:val="single" w:sz="4" w:space="0" w:color="B7C6D8"/>
              <w:right w:val="single" w:sz="4" w:space="0" w:color="B7C6D8"/>
            </w:tcBorders>
            <w:shd w:fill="E8EEF5"/>
          </w:tcPr>
          <w:p>
            <w:r>
              <w:t>See</w:t>
            </w:r>
          </w:p>
        </w:tc>
      </w:tr>
      <w:tr>
        <w:tc>
          <w:tcPr>
            <w:tcW w:type="dxa" w:w="4680"/>
          </w:tcPr>
          <w:p>
            <w:r>
              <w:t>Anchors</w:t>
            </w:r>
          </w:p>
        </w:tc>
        <w:tc>
          <w:tcPr>
            <w:tcW w:type="dxa" w:w="4680"/>
          </w:tcPr>
          <w:p>
            <w:r>
              <w:t>Evidence Anchors and Manual Generation; Appendix A</w:t>
            </w:r>
          </w:p>
        </w:tc>
      </w:tr>
      <w:tr>
        <w:tc>
          <w:tcPr>
            <w:tcW w:type="dxa" w:w="4680"/>
          </w:tcPr>
          <w:p>
            <w:r>
              <w:t>Buffering</w:t>
            </w:r>
          </w:p>
        </w:tc>
        <w:tc>
          <w:tcPr>
            <w:tcW w:type="dxa" w:w="4680"/>
          </w:tcPr>
          <w:p>
            <w:r>
              <w:t>Table Buffering; Commit and Rollback</w:t>
            </w:r>
          </w:p>
        </w:tc>
      </w:tr>
      <w:tr>
        <w:tc>
          <w:tcPr>
            <w:tcW w:type="dxa" w:w="4680"/>
          </w:tcPr>
          <w:p>
            <w:r>
              <w:t>CDX</w:t>
            </w:r>
          </w:p>
        </w:tc>
        <w:tc>
          <w:tcPr>
            <w:tcW w:type="dxa" w:w="4680"/>
          </w:tcPr>
          <w:p>
            <w:r>
              <w:t>Indexes, CNX, CDX, and SET ORDER</w:t>
            </w:r>
          </w:p>
        </w:tc>
      </w:tr>
      <w:tr>
        <w:tc>
          <w:tcPr>
            <w:tcW w:type="dxa" w:w="4680"/>
          </w:tcPr>
          <w:p>
            <w:r>
              <w:t>CNX</w:t>
            </w:r>
          </w:p>
        </w:tc>
        <w:tc>
          <w:tcPr>
            <w:tcW w:type="dxa" w:w="4680"/>
          </w:tcPr>
          <w:p>
            <w:r>
              <w:t>Indexes, CNX, CDX, and SET ORDER</w:t>
            </w:r>
          </w:p>
        </w:tc>
      </w:tr>
      <w:tr>
        <w:tc>
          <w:tcPr>
            <w:tcW w:type="dxa" w:w="4680"/>
          </w:tcPr>
          <w:p>
            <w:r>
              <w:t>Command reference</w:t>
            </w:r>
          </w:p>
        </w:tc>
        <w:tc>
          <w:tcPr>
            <w:tcW w:type="dxa" w:w="4680"/>
          </w:tcPr>
          <w:p>
            <w:r>
              <w:t>Commands and Functions Reference; Appendix C</w:t>
            </w:r>
          </w:p>
        </w:tc>
      </w:tr>
      <w:tr>
        <w:tc>
          <w:tcPr>
            <w:tcW w:type="dxa" w:w="4680"/>
          </w:tcPr>
          <w:p>
            <w:r>
              <w:t>Commit</w:t>
            </w:r>
          </w:p>
        </w:tc>
        <w:tc>
          <w:tcPr>
            <w:tcW w:type="dxa" w:w="4680"/>
          </w:tcPr>
          <w:p>
            <w:r>
              <w:t>Commit and Rollback</w:t>
            </w:r>
          </w:p>
        </w:tc>
      </w:tr>
      <w:tr>
        <w:tc>
          <w:tcPr>
            <w:tcW w:type="dxa" w:w="4680"/>
          </w:tcPr>
          <w:p>
            <w:r>
              <w:t>Cursor control</w:t>
            </w:r>
          </w:p>
        </w:tc>
        <w:tc>
          <w:tcPr>
            <w:tcW w:type="dxa" w:w="4680"/>
          </w:tcPr>
          <w:p>
            <w:r>
              <w:t>Work Areas and Cursor Control</w:t>
            </w:r>
          </w:p>
        </w:tc>
      </w:tr>
      <w:tr>
        <w:tc>
          <w:tcPr>
            <w:tcW w:type="dxa" w:w="4680"/>
          </w:tcPr>
          <w:p>
            <w:r>
              <w:t>Data dictionary</w:t>
            </w:r>
          </w:p>
        </w:tc>
        <w:tc>
          <w:tcPr>
            <w:tcW w:type="dxa" w:w="4680"/>
          </w:tcPr>
          <w:p>
            <w:r>
              <w:t>Schema Rules; Evidence Anchors and Manual Generation</w:t>
            </w:r>
          </w:p>
        </w:tc>
      </w:tr>
      <w:tr>
        <w:tc>
          <w:tcPr>
            <w:tcW w:type="dxa" w:w="4680"/>
          </w:tcPr>
          <w:p>
            <w:r>
              <w:t>DotScript</w:t>
            </w:r>
          </w:p>
        </w:tc>
        <w:tc>
          <w:tcPr>
            <w:tcW w:type="dxa" w:w="4680"/>
          </w:tcPr>
          <w:p>
            <w:r>
              <w:t>DotScript</w:t>
            </w:r>
          </w:p>
        </w:tc>
      </w:tr>
      <w:tr>
        <w:tc>
          <w:tcPr>
            <w:tcW w:type="dxa" w:w="4680"/>
          </w:tcPr>
          <w:p>
            <w:r>
              <w:t>DTX memos</w:t>
            </w:r>
          </w:p>
        </w:tc>
        <w:tc>
          <w:tcPr>
            <w:tcW w:type="dxa" w:w="4680"/>
          </w:tcPr>
          <w:p>
            <w:r>
              <w:t>Theoretical Limits; x64 Memo Limits</w:t>
            </w:r>
          </w:p>
        </w:tc>
      </w:tr>
      <w:tr>
        <w:tc>
          <w:tcPr>
            <w:tcW w:type="dxa" w:w="4680"/>
          </w:tcPr>
          <w:p>
            <w:r>
              <w:t>HELP</w:t>
            </w:r>
          </w:p>
        </w:tc>
        <w:tc>
          <w:tcPr>
            <w:tcW w:type="dxa" w:w="4680"/>
          </w:tcPr>
          <w:p>
            <w:r>
              <w:t>Commands and Functions Reference; Evidence Anchors and Manual Generation</w:t>
            </w:r>
          </w:p>
        </w:tc>
      </w:tr>
      <w:tr>
        <w:tc>
          <w:tcPr>
            <w:tcW w:type="dxa" w:w="4680"/>
          </w:tcPr>
          <w:p>
            <w:r>
              <w:t>Indexing</w:t>
            </w:r>
          </w:p>
        </w:tc>
        <w:tc>
          <w:tcPr>
            <w:tcW w:type="dxa" w:w="4680"/>
          </w:tcPr>
          <w:p>
            <w:r>
              <w:t>Indexes, CNX, CDX, and SET ORDER</w:t>
            </w:r>
          </w:p>
        </w:tc>
      </w:tr>
      <w:tr>
        <w:tc>
          <w:tcPr>
            <w:tcW w:type="dxa" w:w="4680"/>
          </w:tcPr>
          <w:p>
            <w:r>
              <w:t>Locking</w:t>
            </w:r>
          </w:p>
        </w:tc>
        <w:tc>
          <w:tcPr>
            <w:tcW w:type="dxa" w:w="4680"/>
          </w:tcPr>
          <w:p>
            <w:r>
              <w:t>Record and Table Locking</w:t>
            </w:r>
          </w:p>
        </w:tc>
      </w:tr>
      <w:tr>
        <w:tc>
          <w:tcPr>
            <w:tcW w:type="dxa" w:w="4680"/>
          </w:tcPr>
          <w:p>
            <w:r>
              <w:t>Maturity</w:t>
            </w:r>
          </w:p>
        </w:tc>
        <w:tc>
          <w:tcPr>
            <w:tcW w:type="dxa" w:w="4680"/>
          </w:tcPr>
          <w:p>
            <w:r>
              <w:t>Evidence Anchors and Manual Generation; Appendix B</w:t>
            </w:r>
          </w:p>
        </w:tc>
      </w:tr>
      <w:tr>
        <w:tc>
          <w:tcPr>
            <w:tcW w:type="dxa" w:w="4680"/>
          </w:tcPr>
          <w:p>
            <w:r>
              <w:t>MDO</w:t>
            </w:r>
          </w:p>
        </w:tc>
        <w:tc>
          <w:tcPr>
            <w:tcW w:type="dxa" w:w="4680"/>
          </w:tcPr>
          <w:p>
            <w:r>
              <w:t>Developer Appendix; Evidence Anchors and Manual Generation</w:t>
            </w:r>
          </w:p>
        </w:tc>
      </w:tr>
      <w:tr>
        <w:tc>
          <w:tcPr>
            <w:tcW w:type="dxa" w:w="4680"/>
          </w:tcPr>
          <w:p>
            <w:r>
              <w:t>META</w:t>
            </w:r>
          </w:p>
        </w:tc>
        <w:tc>
          <w:tcPr>
            <w:tcW w:type="dxa" w:w="4680"/>
          </w:tcPr>
          <w:p>
            <w:r>
              <w:t>Commands and Functions Reference; Evidence Anchors and Manual Generation</w:t>
            </w:r>
          </w:p>
        </w:tc>
      </w:tr>
      <w:tr>
        <w:tc>
          <w:tcPr>
            <w:tcW w:type="dxa" w:w="4680"/>
          </w:tcPr>
          <w:p>
            <w:r>
              <w:t>Rollback</w:t>
            </w:r>
          </w:p>
        </w:tc>
        <w:tc>
          <w:tcPr>
            <w:tcW w:type="dxa" w:w="4680"/>
          </w:tcPr>
          <w:p>
            <w:r>
              <w:t>Commit and Rollback</w:t>
            </w:r>
          </w:p>
        </w:tc>
      </w:tr>
      <w:tr>
        <w:tc>
          <w:tcPr>
            <w:tcW w:type="dxa" w:w="4680"/>
          </w:tcPr>
          <w:p>
            <w:r>
              <w:t>SelfDoc</w:t>
            </w:r>
          </w:p>
        </w:tc>
        <w:tc>
          <w:tcPr>
            <w:tcW w:type="dxa" w:w="4680"/>
          </w:tcPr>
          <w:p>
            <w:r>
              <w:t>Evidence Anchors and Manual Generation</w:t>
            </w:r>
          </w:p>
        </w:tc>
      </w:tr>
      <w:tr>
        <w:tc>
          <w:tcPr>
            <w:tcW w:type="dxa" w:w="4680"/>
          </w:tcPr>
          <w:p>
            <w:r>
              <w:t>SET ORDER</w:t>
            </w:r>
          </w:p>
        </w:tc>
        <w:tc>
          <w:tcPr>
            <w:tcW w:type="dxa" w:w="4680"/>
          </w:tcPr>
          <w:p>
            <w:r>
              <w:t>Indexes, CNX, CDX, and SET ORDER</w:t>
            </w:r>
          </w:p>
        </w:tc>
      </w:tr>
      <w:tr>
        <w:tc>
          <w:tcPr>
            <w:tcW w:type="dxa" w:w="4680"/>
          </w:tcPr>
          <w:p>
            <w:r>
              <w:t>Trinity headers</w:t>
            </w:r>
          </w:p>
        </w:tc>
        <w:tc>
          <w:tcPr>
            <w:tcW w:type="dxa" w:w="4680"/>
          </w:tcPr>
          <w:p>
            <w:r>
              <w:t>The Trinity Headers</w:t>
            </w:r>
          </w:p>
        </w:tc>
      </w:tr>
      <w:tr>
        <w:tc>
          <w:tcPr>
            <w:tcW w:type="dxa" w:w="4680"/>
          </w:tcPr>
          <w:p>
            <w:r>
              <w:t>Vectored names</w:t>
            </w:r>
          </w:p>
        </w:tc>
        <w:tc>
          <w:tcPr>
            <w:tcW w:type="dxa" w:w="4680"/>
          </w:tcPr>
          <w:p>
            <w:r>
              <w:t>Schema Rules; The x64 Workflow</w:t>
            </w:r>
          </w:p>
        </w:tc>
      </w:tr>
      <w:tr>
        <w:tc>
          <w:tcPr>
            <w:tcW w:type="dxa" w:w="4680"/>
          </w:tcPr>
          <w:p>
            <w:r>
              <w:t>Work areas</w:t>
            </w:r>
          </w:p>
        </w:tc>
        <w:tc>
          <w:tcPr>
            <w:tcW w:type="dxa" w:w="4680"/>
          </w:tcPr>
          <w:p>
            <w:r>
              <w:t>Work Areas and Cursor Control</w:t>
            </w:r>
          </w:p>
        </w:tc>
      </w:tr>
      <w:tr>
        <w:tc>
          <w:tcPr>
            <w:tcW w:type="dxa" w:w="4680"/>
          </w:tcPr>
          <w:p>
            <w:r>
              <w:t>X64M</w:t>
            </w:r>
          </w:p>
        </w:tc>
        <w:tc>
          <w:tcPr>
            <w:tcW w:type="dxa" w:w="4680"/>
          </w:tcPr>
          <w:p>
            <w:r>
              <w:t>The x64 Workflow; Schema Rules</w:t>
            </w:r>
          </w:p>
        </w:tc>
      </w:tr>
    </w:tbl>
    <w:sectPr w:rsidR="00FC693F" w:rsidRPr="0006063C" w:rsidSect="00034616">
      <w:footerReference w:type="default" r:id="rId2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068"/>
        <w:sz w:val="18"/>
      </w:rPr>
      <w:t>DotTalk++ / x64base Manual Preview V1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libri" w:hAnsi="Calibri"/>
      <w:b/>
      <w:bCs/>
      <w:color w:val="5A606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